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0F" w:rsidRPr="00D5480F" w:rsidRDefault="005C7178" w:rsidP="00E72552">
      <w:pPr>
        <w:adjustRightInd/>
        <w:spacing w:line="276" w:lineRule="auto"/>
        <w:jc w:val="right"/>
        <w:textAlignment w:val="auto"/>
        <w:rPr>
          <w:rFonts w:ascii="ＭＳ ゴシック" w:eastAsia="ＭＳ ゴシック" w:hAnsi="ＭＳ ゴシック"/>
          <w:kern w:val="2"/>
          <w:szCs w:val="21"/>
        </w:rPr>
      </w:pPr>
      <w:r>
        <w:rPr>
          <w:noProof/>
        </w:rPr>
        <w:drawing>
          <wp:anchor distT="0" distB="0" distL="114300" distR="114300" simplePos="0" relativeHeight="251659776" behindDoc="0" locked="0" layoutInCell="1" allowOverlap="1" wp14:anchorId="599BE3E1" wp14:editId="4C8202E2">
            <wp:simplePos x="0" y="0"/>
            <wp:positionH relativeFrom="column">
              <wp:posOffset>4778213</wp:posOffset>
            </wp:positionH>
            <wp:positionV relativeFrom="paragraph">
              <wp:posOffset>-926465</wp:posOffset>
            </wp:positionV>
            <wp:extent cx="1031240" cy="808355"/>
            <wp:effectExtent l="0" t="0" r="0" b="0"/>
            <wp:wrapNone/>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8" cstate="print">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80F" w:rsidRPr="00D5480F">
        <w:rPr>
          <w:rFonts w:ascii="ＭＳ ゴシック" w:eastAsia="ＭＳ ゴシック" w:hAnsi="ＭＳ ゴシック" w:hint="eastAsia"/>
          <w:kern w:val="2"/>
          <w:szCs w:val="21"/>
        </w:rPr>
        <w:t>2015年2月4日</w:t>
      </w:r>
    </w:p>
    <w:p w:rsidR="00D5480F" w:rsidRPr="00D5480F" w:rsidRDefault="00D5480F" w:rsidP="00E72552">
      <w:pPr>
        <w:adjustRightInd/>
        <w:spacing w:line="276" w:lineRule="auto"/>
        <w:textAlignment w:val="auto"/>
        <w:rPr>
          <w:rFonts w:ascii="ＭＳ ゴシック" w:eastAsia="ＭＳ ゴシック" w:hAnsi="ＭＳ ゴシック"/>
          <w:noProof/>
          <w:kern w:val="2"/>
          <w:szCs w:val="21"/>
        </w:rPr>
      </w:pPr>
      <w:r w:rsidRPr="00D5480F">
        <w:rPr>
          <w:rFonts w:ascii="ＭＳ ゴシック" w:eastAsia="ＭＳ ゴシック" w:hAnsi="ＭＳ ゴシック" w:cs="ＭＳ 明朝" w:hint="eastAsia"/>
          <w:noProof/>
          <w:kern w:val="2"/>
          <w:szCs w:val="21"/>
        </w:rPr>
        <w:t>厚生労働大臣　塩崎恭</w:t>
      </w:r>
      <w:r w:rsidRPr="00D5480F">
        <w:rPr>
          <w:rFonts w:ascii="ＭＳ ゴシック" w:eastAsia="ＭＳ ゴシック" w:hAnsi="ＭＳ ゴシック" w:hint="eastAsia"/>
          <w:bCs/>
          <w:noProof/>
          <w:kern w:val="2"/>
          <w:szCs w:val="21"/>
          <w:shd w:val="clear" w:color="auto" w:fill="FFFFFF"/>
        </w:rPr>
        <w:t>久</w:t>
      </w:r>
      <w:r w:rsidRPr="00D5480F">
        <w:rPr>
          <w:rFonts w:ascii="ＭＳ ゴシック" w:eastAsia="ＭＳ ゴシック" w:hAnsi="ＭＳ ゴシック" w:cs="Century"/>
          <w:noProof/>
          <w:kern w:val="2"/>
          <w:szCs w:val="21"/>
        </w:rPr>
        <w:t xml:space="preserve"> </w:t>
      </w:r>
      <w:r w:rsidRPr="00D5480F">
        <w:rPr>
          <w:rFonts w:ascii="ＭＳ ゴシック" w:eastAsia="ＭＳ ゴシック" w:hAnsi="ＭＳ ゴシック" w:cs="ＭＳ 明朝" w:hint="eastAsia"/>
          <w:noProof/>
          <w:kern w:val="2"/>
          <w:szCs w:val="21"/>
        </w:rPr>
        <w:t>様</w:t>
      </w:r>
    </w:p>
    <w:p w:rsidR="00B52B4D" w:rsidRDefault="00D5480F" w:rsidP="00E72552">
      <w:pPr>
        <w:adjustRightInd/>
        <w:spacing w:line="276" w:lineRule="auto"/>
        <w:jc w:val="right"/>
        <w:textAlignment w:val="auto"/>
        <w:rPr>
          <w:rFonts w:ascii="ＭＳ ゴシック" w:eastAsia="ＭＳ ゴシック" w:hAnsi="ＭＳ ゴシック" w:cs="ＭＳ 明朝"/>
          <w:noProof/>
          <w:kern w:val="2"/>
          <w:szCs w:val="21"/>
        </w:rPr>
      </w:pPr>
      <w:r w:rsidRPr="00D5480F">
        <w:rPr>
          <w:rFonts w:ascii="ＭＳ ゴシック" w:eastAsia="ＭＳ ゴシック" w:hAnsi="ＭＳ ゴシック" w:cs="ＭＳ 明朝" w:hint="eastAsia"/>
          <w:noProof/>
          <w:kern w:val="2"/>
          <w:szCs w:val="21"/>
        </w:rPr>
        <w:t xml:space="preserve">特定非営利活動法人　</w:t>
      </w:r>
    </w:p>
    <w:p w:rsidR="00D5480F" w:rsidRPr="00D5480F" w:rsidRDefault="00D5480F" w:rsidP="00E72552">
      <w:pPr>
        <w:adjustRightInd/>
        <w:spacing w:line="276" w:lineRule="auto"/>
        <w:jc w:val="right"/>
        <w:textAlignment w:val="auto"/>
        <w:rPr>
          <w:rFonts w:ascii="ＭＳ ゴシック" w:eastAsia="ＭＳ ゴシック" w:hAnsi="ＭＳ ゴシック"/>
          <w:noProof/>
          <w:kern w:val="2"/>
          <w:szCs w:val="21"/>
        </w:rPr>
      </w:pPr>
      <w:r w:rsidRPr="00D5480F">
        <w:rPr>
          <w:rFonts w:ascii="ＭＳ ゴシック" w:eastAsia="ＭＳ ゴシック" w:hAnsi="ＭＳ ゴシック" w:cs="ＭＳ 明朝" w:hint="eastAsia"/>
          <w:noProof/>
          <w:kern w:val="2"/>
          <w:szCs w:val="21"/>
        </w:rPr>
        <w:t>ＤＰＩ（障害者インターナショナル）日本会議</w:t>
      </w:r>
    </w:p>
    <w:p w:rsidR="00D5480F" w:rsidRDefault="00D5480F" w:rsidP="00E72552">
      <w:pPr>
        <w:adjustRightInd/>
        <w:spacing w:line="276" w:lineRule="auto"/>
        <w:jc w:val="right"/>
        <w:textAlignment w:val="auto"/>
        <w:rPr>
          <w:rFonts w:ascii="ＭＳ ゴシック" w:eastAsia="ＭＳ ゴシック" w:hAnsi="ＭＳ ゴシック" w:cs="ＭＳ 明朝"/>
          <w:noProof/>
          <w:kern w:val="2"/>
          <w:szCs w:val="21"/>
        </w:rPr>
      </w:pPr>
      <w:r w:rsidRPr="00D5480F">
        <w:rPr>
          <w:rFonts w:ascii="ＭＳ ゴシック" w:eastAsia="ＭＳ ゴシック" w:hAnsi="ＭＳ ゴシック" w:cs="ＭＳ 明朝" w:hint="eastAsia"/>
          <w:noProof/>
          <w:kern w:val="2"/>
          <w:szCs w:val="21"/>
        </w:rPr>
        <w:t>議長　平野みどり</w:t>
      </w:r>
    </w:p>
    <w:p w:rsidR="00B52B4D" w:rsidRPr="00D5480F" w:rsidRDefault="00B52B4D" w:rsidP="00E72552">
      <w:pPr>
        <w:adjustRightInd/>
        <w:spacing w:line="276" w:lineRule="auto"/>
        <w:jc w:val="right"/>
        <w:textAlignment w:val="auto"/>
        <w:rPr>
          <w:rFonts w:ascii="ＭＳ ゴシック" w:eastAsia="ＭＳ ゴシック" w:hAnsi="ＭＳ ゴシック"/>
          <w:noProof/>
          <w:kern w:val="2"/>
          <w:szCs w:val="21"/>
        </w:rPr>
      </w:pPr>
    </w:p>
    <w:p w:rsidR="00D5480F" w:rsidRPr="00D5480F" w:rsidRDefault="00D5480F" w:rsidP="00E72552">
      <w:pPr>
        <w:adjustRightInd/>
        <w:spacing w:line="276" w:lineRule="auto"/>
        <w:jc w:val="center"/>
        <w:textAlignment w:val="auto"/>
        <w:rPr>
          <w:rFonts w:ascii="Century"/>
          <w:kern w:val="2"/>
          <w:sz w:val="36"/>
          <w:szCs w:val="36"/>
        </w:rPr>
      </w:pPr>
      <w:bookmarkStart w:id="0" w:name="_GoBack"/>
      <w:r w:rsidRPr="00D5480F">
        <w:rPr>
          <w:rFonts w:ascii="ＭＳ ゴシック" w:eastAsia="ＭＳ ゴシック" w:hAnsi="ＭＳ ゴシック" w:cs="ＭＳ ゴシック" w:hint="eastAsia"/>
          <w:bCs/>
          <w:noProof/>
          <w:kern w:val="2"/>
          <w:sz w:val="36"/>
          <w:szCs w:val="36"/>
        </w:rPr>
        <w:t>障害者総合支援法3年後見直しに関する意見書</w:t>
      </w:r>
    </w:p>
    <w:bookmarkEnd w:id="0"/>
    <w:p w:rsidR="00D5480F" w:rsidRPr="00D5480F" w:rsidRDefault="00D5480F" w:rsidP="00E72552">
      <w:pPr>
        <w:adjustRightInd/>
        <w:spacing w:line="276" w:lineRule="auto"/>
        <w:textAlignment w:val="auto"/>
        <w:rPr>
          <w:rFonts w:ascii="Century"/>
          <w:kern w:val="2"/>
          <w:szCs w:val="21"/>
          <w:bdr w:val="single" w:sz="4" w:space="0" w:color="auto"/>
        </w:rPr>
      </w:pPr>
    </w:p>
    <w:p w:rsidR="00D5480F" w:rsidRPr="00E80C4D" w:rsidRDefault="00D5480F" w:rsidP="00E72552">
      <w:pPr>
        <w:adjustRightInd/>
        <w:spacing w:line="276" w:lineRule="auto"/>
        <w:textAlignment w:val="auto"/>
        <w:rPr>
          <w:rFonts w:asciiTheme="majorEastAsia" w:eastAsiaTheme="majorEastAsia" w:hAnsiTheme="majorEastAsia"/>
          <w:kern w:val="2"/>
          <w:sz w:val="24"/>
          <w:szCs w:val="24"/>
          <w:bdr w:val="single" w:sz="4" w:space="0" w:color="auto"/>
        </w:rPr>
      </w:pPr>
      <w:r w:rsidRPr="00E80C4D">
        <w:rPr>
          <w:rFonts w:asciiTheme="majorEastAsia" w:eastAsiaTheme="majorEastAsia" w:hAnsiTheme="majorEastAsia" w:hint="eastAsia"/>
          <w:kern w:val="2"/>
          <w:sz w:val="24"/>
          <w:szCs w:val="24"/>
          <w:bdr w:val="single" w:sz="4" w:space="0" w:color="auto"/>
        </w:rPr>
        <w:t>Ⅰ.見直しの基本スタンス</w:t>
      </w:r>
    </w:p>
    <w:p w:rsidR="00D5480F" w:rsidRPr="00D5480F" w:rsidRDefault="00D5480F" w:rsidP="00E72552">
      <w:pPr>
        <w:numPr>
          <w:ilvl w:val="0"/>
          <w:numId w:val="4"/>
        </w:numPr>
        <w:adjustRightInd/>
        <w:spacing w:line="276" w:lineRule="auto"/>
        <w:textAlignment w:val="auto"/>
        <w:rPr>
          <w:rFonts w:ascii="Century"/>
          <w:kern w:val="2"/>
          <w:szCs w:val="21"/>
        </w:rPr>
      </w:pPr>
      <w:r w:rsidRPr="00E80C4D">
        <w:rPr>
          <w:rFonts w:asciiTheme="majorEastAsia" w:eastAsiaTheme="majorEastAsia" w:hAnsiTheme="majorEastAsia" w:hint="eastAsia"/>
          <w:kern w:val="2"/>
          <w:szCs w:val="21"/>
        </w:rPr>
        <w:t>障害者権利条約の理念を踏まえた改正を</w:t>
      </w:r>
    </w:p>
    <w:p w:rsidR="00D5480F" w:rsidRPr="00D5480F" w:rsidRDefault="00D5480F" w:rsidP="00E72552">
      <w:pPr>
        <w:adjustRightInd/>
        <w:spacing w:line="276" w:lineRule="auto"/>
        <w:ind w:leftChars="100" w:left="210" w:firstLineChars="100" w:firstLine="210"/>
        <w:textAlignment w:val="auto"/>
        <w:rPr>
          <w:rFonts w:ascii="Century"/>
          <w:kern w:val="2"/>
          <w:szCs w:val="21"/>
        </w:rPr>
      </w:pPr>
      <w:r w:rsidRPr="00D5480F">
        <w:rPr>
          <w:rFonts w:ascii="Century" w:hint="eastAsia"/>
          <w:kern w:val="2"/>
          <w:szCs w:val="21"/>
        </w:rPr>
        <w:t>昨年、我が国も障害者権利条約を批准し、２月から発効している。権利の主体、障害の社会モデル、地域における自立生活の権利を規定している第１９条等、権利条約の理念や規定を踏まえて総合支援法を見直していただきたい。</w:t>
      </w:r>
    </w:p>
    <w:p w:rsidR="00D5480F" w:rsidRPr="00E80C4D" w:rsidRDefault="00D5480F" w:rsidP="00E72552">
      <w:pPr>
        <w:numPr>
          <w:ilvl w:val="0"/>
          <w:numId w:val="4"/>
        </w:numPr>
        <w:adjustRightInd/>
        <w:spacing w:line="276" w:lineRule="auto"/>
        <w:textAlignment w:val="auto"/>
        <w:rPr>
          <w:rFonts w:asciiTheme="majorEastAsia" w:eastAsiaTheme="majorEastAsia" w:hAnsiTheme="majorEastAsia"/>
          <w:kern w:val="2"/>
          <w:szCs w:val="21"/>
        </w:rPr>
      </w:pPr>
      <w:r w:rsidRPr="00E80C4D">
        <w:rPr>
          <w:rFonts w:asciiTheme="majorEastAsia" w:eastAsiaTheme="majorEastAsia" w:hAnsiTheme="majorEastAsia" w:hint="eastAsia"/>
          <w:kern w:val="2"/>
          <w:szCs w:val="21"/>
        </w:rPr>
        <w:t>骨格提言の段階的・計画的実施を</w:t>
      </w:r>
    </w:p>
    <w:p w:rsidR="00D5480F" w:rsidRPr="00D5480F" w:rsidRDefault="00D5480F" w:rsidP="00E72552">
      <w:pPr>
        <w:adjustRightInd/>
        <w:spacing w:line="276" w:lineRule="auto"/>
        <w:ind w:firstLineChars="200" w:firstLine="420"/>
        <w:textAlignment w:val="auto"/>
        <w:rPr>
          <w:rFonts w:ascii="Century"/>
          <w:kern w:val="2"/>
          <w:szCs w:val="21"/>
        </w:rPr>
      </w:pPr>
      <w:r w:rsidRPr="00D5480F">
        <w:rPr>
          <w:rFonts w:ascii="Century" w:hint="eastAsia"/>
          <w:kern w:val="2"/>
          <w:szCs w:val="21"/>
        </w:rPr>
        <w:t>国会答弁でもあったように骨格提言の段階的・計画的実施を進めていただきたい。</w:t>
      </w:r>
    </w:p>
    <w:p w:rsidR="00D5480F" w:rsidRPr="00D5480F" w:rsidRDefault="00D5480F" w:rsidP="00E72552">
      <w:pPr>
        <w:adjustRightInd/>
        <w:spacing w:line="276" w:lineRule="auto"/>
        <w:ind w:firstLineChars="100" w:firstLine="210"/>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 w:val="24"/>
          <w:szCs w:val="24"/>
          <w:bdr w:val="single" w:sz="4" w:space="0" w:color="auto"/>
        </w:rPr>
      </w:pPr>
      <w:r w:rsidRPr="00D5480F">
        <w:rPr>
          <w:rFonts w:ascii="ＭＳ ゴシック" w:eastAsia="ＭＳ ゴシック" w:hAnsi="ＭＳ ゴシック" w:hint="eastAsia"/>
          <w:kern w:val="2"/>
          <w:sz w:val="24"/>
          <w:szCs w:val="24"/>
          <w:bdr w:val="single" w:sz="4" w:space="0" w:color="auto"/>
        </w:rPr>
        <w:t>Ⅱ.</w:t>
      </w:r>
      <w:r w:rsidRPr="00D5480F">
        <w:rPr>
          <w:rFonts w:ascii="ＭＳ ゴシック" w:eastAsia="ＭＳ ゴシック" w:hAnsi="ＭＳ ゴシック"/>
          <w:kern w:val="2"/>
          <w:sz w:val="24"/>
          <w:szCs w:val="24"/>
          <w:bdr w:val="single" w:sz="4" w:space="0" w:color="auto"/>
        </w:rPr>
        <w:t xml:space="preserve"> 常時介護を要する障害者等に対する支援、障害者等の移動の支援、障害者の就労の支援その他の障害福祉サービスの 在り方</w:t>
      </w:r>
    </w:p>
    <w:p w:rsidR="00D5480F" w:rsidRPr="00D5480F" w:rsidRDefault="00D5480F" w:rsidP="00E72552">
      <w:pPr>
        <w:numPr>
          <w:ilvl w:val="0"/>
          <w:numId w:val="3"/>
        </w:numPr>
        <w:adjustRightInd/>
        <w:spacing w:line="276" w:lineRule="auto"/>
        <w:jc w:val="left"/>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w:t>
      </w:r>
      <w:r w:rsidRPr="00D5480F">
        <w:rPr>
          <w:rFonts w:ascii="ＭＳ ゴシック" w:eastAsia="ＭＳ ゴシック" w:hAnsi="ＭＳ ゴシック"/>
          <w:kern w:val="2"/>
          <w:szCs w:val="21"/>
        </w:rPr>
        <w:t>常時介護を要する障害者等に対する支援</w:t>
      </w:r>
      <w:r w:rsidRPr="00D5480F">
        <w:rPr>
          <w:rFonts w:ascii="ＭＳ ゴシック" w:eastAsia="ＭＳ ゴシック" w:hAnsi="ＭＳ ゴシック" w:hint="eastAsia"/>
          <w:kern w:val="2"/>
          <w:szCs w:val="21"/>
        </w:rPr>
        <w:t xml:space="preserve">」に関して　</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（１）</w:t>
      </w:r>
      <w:r w:rsidRPr="00D5480F">
        <w:rPr>
          <w:rFonts w:ascii="Century"/>
          <w:kern w:val="2"/>
          <w:szCs w:val="21"/>
        </w:rPr>
        <w:t>対象者（地域生活に困難のある障害者</w:t>
      </w:r>
      <w:r w:rsidRPr="00D5480F">
        <w:rPr>
          <w:rFonts w:ascii="Century" w:hint="eastAsia"/>
          <w:kern w:val="2"/>
          <w:szCs w:val="21"/>
        </w:rPr>
        <w:t>）</w:t>
      </w:r>
    </w:p>
    <w:p w:rsidR="00D5480F" w:rsidRPr="00D5480F" w:rsidRDefault="00D5480F" w:rsidP="00E72552">
      <w:pPr>
        <w:adjustRightInd/>
        <w:spacing w:line="276" w:lineRule="auto"/>
        <w:ind w:firstLineChars="100" w:firstLine="210"/>
        <w:textAlignment w:val="auto"/>
        <w:rPr>
          <w:rFonts w:ascii="Century"/>
          <w:kern w:val="2"/>
          <w:szCs w:val="22"/>
        </w:rPr>
      </w:pPr>
      <w:r w:rsidRPr="00D5480F">
        <w:rPr>
          <w:rFonts w:ascii="Century" w:hint="eastAsia"/>
          <w:kern w:val="2"/>
          <w:szCs w:val="22"/>
        </w:rPr>
        <w:t>重度訪問介護を、医学モデルを前提とした利用制限を見直し、障害種別を問わず日常生活全般に常時の支援を要するすべての障害者が利用できるようにする。</w:t>
      </w:r>
    </w:p>
    <w:p w:rsidR="00D5480F" w:rsidRPr="00D5480F" w:rsidRDefault="00D5480F" w:rsidP="00E72552">
      <w:pPr>
        <w:adjustRightInd/>
        <w:spacing w:line="276" w:lineRule="auto"/>
        <w:ind w:firstLineChars="100" w:firstLine="210"/>
        <w:textAlignment w:val="auto"/>
        <w:rPr>
          <w:rFonts w:ascii="Century"/>
          <w:kern w:val="2"/>
          <w:szCs w:val="22"/>
        </w:rPr>
      </w:pPr>
      <w:r w:rsidRPr="00D5480F">
        <w:rPr>
          <w:rFonts w:ascii="Century" w:hint="eastAsia"/>
          <w:kern w:val="2"/>
          <w:szCs w:val="22"/>
        </w:rPr>
        <w:t>具体的な対象者は、</w:t>
      </w:r>
      <w:r w:rsidRPr="00D5480F">
        <w:rPr>
          <w:rFonts w:ascii="Century" w:hint="eastAsia"/>
          <w:b/>
          <w:kern w:val="2"/>
          <w:szCs w:val="22"/>
          <w:u w:val="single"/>
        </w:rPr>
        <w:t>①重度肢体不自由者</w:t>
      </w:r>
      <w:r w:rsidRPr="00D5480F">
        <w:rPr>
          <w:rFonts w:ascii="Century" w:hint="eastAsia"/>
          <w:kern w:val="2"/>
          <w:szCs w:val="22"/>
        </w:rPr>
        <w:t>、</w:t>
      </w:r>
      <w:r w:rsidRPr="00D5480F">
        <w:rPr>
          <w:rFonts w:ascii="Century" w:hint="eastAsia"/>
          <w:b/>
          <w:kern w:val="2"/>
          <w:szCs w:val="22"/>
          <w:u w:val="single"/>
        </w:rPr>
        <w:t>②医療的ケアを必要とする者</w:t>
      </w:r>
      <w:r w:rsidRPr="00D5480F">
        <w:rPr>
          <w:rFonts w:ascii="Century" w:hint="eastAsia"/>
          <w:kern w:val="2"/>
          <w:szCs w:val="22"/>
        </w:rPr>
        <w:t>、</w:t>
      </w:r>
      <w:r w:rsidRPr="00D5480F">
        <w:rPr>
          <w:rFonts w:ascii="Century" w:hint="eastAsia"/>
          <w:b/>
          <w:kern w:val="2"/>
          <w:szCs w:val="22"/>
          <w:u w:val="single"/>
        </w:rPr>
        <w:t>③重症心身障害者</w:t>
      </w:r>
      <w:r w:rsidRPr="00D5480F">
        <w:rPr>
          <w:rFonts w:ascii="Century" w:hint="eastAsia"/>
          <w:kern w:val="2"/>
          <w:szCs w:val="22"/>
        </w:rPr>
        <w:t>、</w:t>
      </w:r>
      <w:r w:rsidRPr="00D5480F">
        <w:rPr>
          <w:rFonts w:ascii="Century" w:hint="eastAsia"/>
          <w:b/>
          <w:kern w:val="2"/>
          <w:szCs w:val="22"/>
          <w:u w:val="single"/>
        </w:rPr>
        <w:t>④強度行動障害をもつ者</w:t>
      </w:r>
      <w:r w:rsidRPr="00D5480F">
        <w:rPr>
          <w:rFonts w:ascii="Century" w:hint="eastAsia"/>
          <w:kern w:val="2"/>
          <w:szCs w:val="22"/>
        </w:rPr>
        <w:t>、</w:t>
      </w:r>
      <w:r w:rsidRPr="00D5480F">
        <w:rPr>
          <w:rFonts w:ascii="Century" w:hint="eastAsia"/>
          <w:b/>
          <w:kern w:val="2"/>
          <w:szCs w:val="22"/>
          <w:u w:val="single"/>
        </w:rPr>
        <w:t>⑤触法障害者</w:t>
      </w:r>
      <w:r w:rsidRPr="00D5480F">
        <w:rPr>
          <w:rFonts w:ascii="Century" w:hint="eastAsia"/>
          <w:kern w:val="2"/>
          <w:szCs w:val="22"/>
        </w:rPr>
        <w:t>、</w:t>
      </w:r>
      <w:r w:rsidRPr="00D5480F">
        <w:rPr>
          <w:rFonts w:ascii="Century" w:hint="eastAsia"/>
          <w:b/>
          <w:kern w:val="2"/>
          <w:szCs w:val="22"/>
          <w:u w:val="single"/>
        </w:rPr>
        <w:t>⑥重度知的障害でありながら行動障害関連項目の基準以下の者</w:t>
      </w:r>
      <w:r w:rsidRPr="00D5480F">
        <w:rPr>
          <w:rFonts w:ascii="Century" w:hint="eastAsia"/>
          <w:kern w:val="2"/>
          <w:szCs w:val="22"/>
        </w:rPr>
        <w:t xml:space="preserve"> </w:t>
      </w:r>
      <w:r w:rsidRPr="00D5480F">
        <w:rPr>
          <w:rFonts w:ascii="Century" w:hint="eastAsia"/>
          <w:kern w:val="2"/>
          <w:szCs w:val="22"/>
        </w:rPr>
        <w:t>、</w:t>
      </w:r>
      <w:r w:rsidRPr="00D5480F">
        <w:rPr>
          <w:rFonts w:ascii="Century" w:hint="eastAsia"/>
          <w:b/>
          <w:kern w:val="2"/>
          <w:szCs w:val="22"/>
          <w:u w:val="single"/>
        </w:rPr>
        <w:t>⑦盲ろう者等</w:t>
      </w:r>
      <w:r w:rsidRPr="00D5480F">
        <w:rPr>
          <w:rFonts w:ascii="Century" w:hint="eastAsia"/>
          <w:kern w:val="2"/>
          <w:szCs w:val="22"/>
        </w:rPr>
        <w:t>である。この中でも現行の重度訪問介護ではカバーできていない者について、今回見直しで対象に加えること。とりわけ⑥については、</w:t>
      </w:r>
      <w:r w:rsidRPr="00D5480F">
        <w:rPr>
          <w:rFonts w:ascii="Century" w:hint="eastAsia"/>
          <w:kern w:val="2"/>
          <w:szCs w:val="22"/>
        </w:rPr>
        <w:t>2014</w:t>
      </w:r>
      <w:r w:rsidRPr="00D5480F">
        <w:rPr>
          <w:rFonts w:ascii="Century" w:hint="eastAsia"/>
          <w:kern w:val="2"/>
          <w:szCs w:val="22"/>
        </w:rPr>
        <w:t>年度の重度訪問介護対象拡大における積み残しであり「地域生活における困難」を基準として対象に加えるべきである。→</w:t>
      </w:r>
      <w:r w:rsidRPr="004E27AC">
        <w:rPr>
          <w:rFonts w:ascii="Century" w:hint="eastAsia"/>
          <w:kern w:val="2"/>
          <w:szCs w:val="22"/>
          <w:bdr w:val="single" w:sz="4" w:space="0" w:color="auto"/>
        </w:rPr>
        <w:t>別紙参照</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（２）支援内容</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シームレスに利用できる仕組みへ</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介助が必要な障害者は、どこにいても介助は必要である。生活全般をシームレスに利用できる仕組みが必要である。</w:t>
      </w:r>
      <w:r w:rsidRPr="00D5480F">
        <w:rPr>
          <w:rFonts w:ascii="Century" w:hint="eastAsia"/>
          <w:kern w:val="2"/>
          <w:szCs w:val="21"/>
          <w:u w:val="single"/>
        </w:rPr>
        <w:t>支給量の範囲内であれば、利用範囲を制限しない、利用場所を制限しない仕組み</w:t>
      </w:r>
      <w:r w:rsidRPr="00D5480F">
        <w:rPr>
          <w:rFonts w:ascii="Century" w:hint="eastAsia"/>
          <w:kern w:val="2"/>
          <w:szCs w:val="21"/>
        </w:rPr>
        <w:t>にすべきである。</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通勤、通学、通年長期も対象とする</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通勤は対象外となっているが、障害者の就労支援の観点からも必要性に応じて認めるべきである。通学と通年長期も多くの自治体で認められていない。移動の自由の保障は人間が生活をしていく上で基本的権利である。</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入院時もヘルパーを利用できる仕組みへ</w:t>
      </w:r>
    </w:p>
    <w:p w:rsidR="00D5480F" w:rsidRPr="00D5480F" w:rsidRDefault="00D5480F" w:rsidP="00384937">
      <w:pPr>
        <w:adjustRightInd/>
        <w:spacing w:line="276" w:lineRule="auto"/>
        <w:ind w:firstLineChars="100" w:firstLine="210"/>
        <w:textAlignment w:val="auto"/>
        <w:rPr>
          <w:rFonts w:ascii="Century"/>
          <w:kern w:val="2"/>
          <w:szCs w:val="21"/>
        </w:rPr>
      </w:pPr>
      <w:r w:rsidRPr="00D5480F">
        <w:rPr>
          <w:rFonts w:ascii="Century" w:hint="eastAsia"/>
          <w:kern w:val="2"/>
          <w:szCs w:val="21"/>
        </w:rPr>
        <w:t>医師が必要性を認めた場合には病院内でもヘルパーを利用できるようにするべきである。現在、入院時の切実なニーズに対して、地域生活支援事業で「コミュニケーション支援」に</w:t>
      </w:r>
      <w:r w:rsidRPr="00D5480F">
        <w:rPr>
          <w:rFonts w:ascii="Century" w:hint="eastAsia"/>
          <w:kern w:val="2"/>
          <w:szCs w:val="21"/>
        </w:rPr>
        <w:lastRenderedPageBreak/>
        <w:t>特化したサービスがいくつかの自治体で施行されているだけであり、非常に不十分な状況</w:t>
      </w:r>
      <w:r w:rsidR="00384937">
        <w:rPr>
          <w:rFonts w:ascii="Century" w:hint="eastAsia"/>
          <w:kern w:val="2"/>
          <w:szCs w:val="21"/>
        </w:rPr>
        <w:t>である</w:t>
      </w:r>
      <w:r w:rsidRPr="00D5480F">
        <w:rPr>
          <w:rFonts w:ascii="Century" w:hint="eastAsia"/>
          <w:kern w:val="2"/>
          <w:szCs w:val="21"/>
        </w:rPr>
        <w:t>。</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移動支援における車の運転について</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地域の実情を考慮して、車（障害者の自家用車、障害者が借用した車）を移動の手段として認めるべきである。</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グループホーム内でのヘルパー</w:t>
      </w:r>
    </w:p>
    <w:p w:rsidR="00D5480F" w:rsidRPr="00D5480F" w:rsidRDefault="00D5480F" w:rsidP="00E72552">
      <w:pPr>
        <w:adjustRightInd/>
        <w:spacing w:line="276" w:lineRule="auto"/>
        <w:ind w:firstLineChars="100" w:firstLine="210"/>
        <w:textAlignment w:val="auto"/>
        <w:rPr>
          <w:rFonts w:ascii="Century"/>
          <w:kern w:val="2"/>
          <w:szCs w:val="22"/>
        </w:rPr>
      </w:pPr>
      <w:r w:rsidRPr="00D5480F">
        <w:rPr>
          <w:rFonts w:ascii="Century" w:hint="eastAsia"/>
          <w:kern w:val="2"/>
          <w:szCs w:val="21"/>
        </w:rPr>
        <w:t>一律に制限を加えるのではなく、必要性に応じて利用できる</w:t>
      </w:r>
      <w:r w:rsidRPr="00D5480F">
        <w:rPr>
          <w:rFonts w:ascii="Century" w:hint="eastAsia"/>
          <w:kern w:val="2"/>
          <w:szCs w:val="22"/>
        </w:rPr>
        <w:t>恒久的な仕組みとすること。</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２人介助について</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入浴や移乗の介助など、その必要性に応じて、「２人介助」を認めるべきである。</w:t>
      </w:r>
    </w:p>
    <w:p w:rsidR="00D5480F" w:rsidRPr="00D5480F" w:rsidRDefault="00D5480F" w:rsidP="00E72552">
      <w:pPr>
        <w:numPr>
          <w:ilvl w:val="0"/>
          <w:numId w:val="5"/>
        </w:numPr>
        <w:adjustRightInd/>
        <w:spacing w:line="276" w:lineRule="auto"/>
        <w:textAlignment w:val="auto"/>
        <w:rPr>
          <w:rFonts w:ascii="Century"/>
          <w:kern w:val="2"/>
          <w:szCs w:val="21"/>
        </w:rPr>
      </w:pPr>
      <w:r w:rsidRPr="00D5480F">
        <w:rPr>
          <w:rFonts w:ascii="Century" w:hint="eastAsia"/>
          <w:kern w:val="2"/>
          <w:szCs w:val="21"/>
        </w:rPr>
        <w:t>一日の範囲を超える外出支援について</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一日の範囲を超える外出については、行き先は国内外を問わず、認めるべきである。</w:t>
      </w:r>
    </w:p>
    <w:p w:rsidR="00D5480F" w:rsidRPr="00D5480F" w:rsidRDefault="00D5480F" w:rsidP="00E72552">
      <w:pPr>
        <w:numPr>
          <w:ilvl w:val="0"/>
          <w:numId w:val="6"/>
        </w:numPr>
        <w:adjustRightInd/>
        <w:spacing w:line="276" w:lineRule="auto"/>
        <w:textAlignment w:val="auto"/>
        <w:rPr>
          <w:rFonts w:ascii="Century"/>
          <w:kern w:val="2"/>
          <w:szCs w:val="21"/>
        </w:rPr>
      </w:pPr>
      <w:r w:rsidRPr="00D5480F">
        <w:rPr>
          <w:rFonts w:ascii="Century" w:hint="eastAsia"/>
          <w:kern w:val="2"/>
          <w:szCs w:val="21"/>
        </w:rPr>
        <w:t>財源の仕組み</w:t>
      </w:r>
    </w:p>
    <w:p w:rsidR="00D5480F" w:rsidRPr="00D5480F" w:rsidRDefault="00D5480F" w:rsidP="00E72552">
      <w:pPr>
        <w:numPr>
          <w:ilvl w:val="0"/>
          <w:numId w:val="1"/>
        </w:numPr>
        <w:adjustRightInd/>
        <w:spacing w:line="276" w:lineRule="auto"/>
        <w:textAlignment w:val="auto"/>
        <w:rPr>
          <w:rFonts w:ascii="Century"/>
          <w:kern w:val="2"/>
          <w:szCs w:val="21"/>
        </w:rPr>
      </w:pPr>
      <w:r w:rsidRPr="00D5480F">
        <w:rPr>
          <w:rFonts w:ascii="Century" w:hint="eastAsia"/>
          <w:kern w:val="2"/>
          <w:szCs w:val="21"/>
        </w:rPr>
        <w:t>かかった費用の</w:t>
      </w:r>
      <w:r w:rsidRPr="00D5480F">
        <w:rPr>
          <w:rFonts w:ascii="Century" w:hint="eastAsia"/>
          <w:kern w:val="2"/>
          <w:szCs w:val="21"/>
        </w:rPr>
        <w:t>1/2</w:t>
      </w:r>
      <w:r w:rsidRPr="00D5480F">
        <w:rPr>
          <w:rFonts w:ascii="Century" w:hint="eastAsia"/>
          <w:kern w:val="2"/>
          <w:szCs w:val="21"/>
        </w:rPr>
        <w:t>を国が負担する仕組みへ</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現在、国庫負担基準によって市町村へ国の負担金が決まる仕組みになっている。このため多くの市町村は国庫負担金を超える支給を恐れて、国庫負担基準を目安に支給量に上限を設けている。国庫負担基準を改めて、かかった費用を国が負担する仕組みが必要である。</w:t>
      </w:r>
    </w:p>
    <w:p w:rsidR="00D5480F" w:rsidRPr="00D5480F" w:rsidRDefault="00D5480F" w:rsidP="00E72552">
      <w:pPr>
        <w:numPr>
          <w:ilvl w:val="0"/>
          <w:numId w:val="1"/>
        </w:numPr>
        <w:adjustRightInd/>
        <w:spacing w:line="276" w:lineRule="auto"/>
        <w:textAlignment w:val="auto"/>
        <w:rPr>
          <w:rFonts w:ascii="Century"/>
          <w:kern w:val="2"/>
          <w:szCs w:val="21"/>
        </w:rPr>
      </w:pPr>
      <w:r w:rsidRPr="00D5480F">
        <w:rPr>
          <w:rFonts w:ascii="Century" w:hint="eastAsia"/>
          <w:kern w:val="2"/>
          <w:szCs w:val="21"/>
        </w:rPr>
        <w:t>重度訪問介護の単価引き上げを</w:t>
      </w:r>
    </w:p>
    <w:p w:rsid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重度訪問介護は重度障害者の地域生活を支える大切な仕組みであるが、単価が低いため介助者を十分確保できないという問題が続いている。これを改めるために重度訪問介護の単価を引き上げること。</w:t>
      </w:r>
    </w:p>
    <w:p w:rsidR="00786A90" w:rsidRPr="00D5480F" w:rsidRDefault="00786A90" w:rsidP="00E72552">
      <w:pPr>
        <w:adjustRightInd/>
        <w:spacing w:line="276" w:lineRule="auto"/>
        <w:ind w:firstLineChars="100" w:firstLine="210"/>
        <w:textAlignment w:val="auto"/>
        <w:rPr>
          <w:rFonts w:ascii="Century"/>
          <w:kern w:val="2"/>
          <w:szCs w:val="21"/>
        </w:rPr>
      </w:pPr>
    </w:p>
    <w:p w:rsidR="00D5480F" w:rsidRPr="00D5480F" w:rsidRDefault="00D5480F" w:rsidP="00E72552">
      <w:pPr>
        <w:numPr>
          <w:ilvl w:val="0"/>
          <w:numId w:val="3"/>
        </w:num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「移動支援」について</w:t>
      </w:r>
    </w:p>
    <w:p w:rsidR="00D5480F" w:rsidRDefault="00D5480F" w:rsidP="00E72552">
      <w:pPr>
        <w:adjustRightInd/>
        <w:spacing w:line="276" w:lineRule="auto"/>
        <w:textAlignment w:val="auto"/>
        <w:rPr>
          <w:rFonts w:ascii="Century"/>
          <w:kern w:val="2"/>
          <w:szCs w:val="21"/>
        </w:rPr>
      </w:pPr>
      <w:r w:rsidRPr="00D5480F">
        <w:rPr>
          <w:rFonts w:ascii="Century" w:hint="eastAsia"/>
          <w:kern w:val="2"/>
          <w:szCs w:val="21"/>
        </w:rPr>
        <w:t xml:space="preserve">  </w:t>
      </w:r>
      <w:r w:rsidRPr="00D5480F">
        <w:rPr>
          <w:rFonts w:ascii="Century" w:hint="eastAsia"/>
          <w:kern w:val="2"/>
          <w:szCs w:val="21"/>
        </w:rPr>
        <w:t>移動支援は自立支援法において地域生活支援事業に位置づけられた。その結果、利用時間数などで市町村格差が拡大し、利用先の制限なども起きている。</w:t>
      </w:r>
      <w:r w:rsidRPr="00D5480F">
        <w:rPr>
          <w:rFonts w:ascii="Century" w:hint="eastAsia"/>
          <w:kern w:val="2"/>
          <w:szCs w:val="21"/>
          <w:u w:val="single"/>
        </w:rPr>
        <w:t>自立支援給付にすべき</w:t>
      </w:r>
      <w:r w:rsidRPr="00D5480F">
        <w:rPr>
          <w:rFonts w:ascii="Century" w:hint="eastAsia"/>
          <w:kern w:val="2"/>
          <w:szCs w:val="21"/>
        </w:rPr>
        <w:t>である。</w:t>
      </w:r>
    </w:p>
    <w:p w:rsidR="00786A90" w:rsidRPr="00D5480F" w:rsidRDefault="00786A90" w:rsidP="00E72552">
      <w:pPr>
        <w:adjustRightInd/>
        <w:spacing w:line="276" w:lineRule="auto"/>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３．「</w:t>
      </w:r>
      <w:r w:rsidRPr="00D5480F">
        <w:rPr>
          <w:rFonts w:ascii="ＭＳ ゴシック" w:eastAsia="ＭＳ ゴシック" w:hAnsi="ＭＳ ゴシック"/>
          <w:kern w:val="2"/>
          <w:szCs w:val="21"/>
        </w:rPr>
        <w:t>就労</w:t>
      </w:r>
      <w:r w:rsidRPr="00D5480F">
        <w:rPr>
          <w:rFonts w:ascii="ＭＳ ゴシック" w:eastAsia="ＭＳ ゴシック" w:hAnsi="ＭＳ ゴシック" w:hint="eastAsia"/>
          <w:kern w:val="2"/>
          <w:szCs w:val="21"/>
        </w:rPr>
        <w:t>」について</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権利条約の規定に基づいて、社会的企業、社会的雇用の仕組みなど、一般就労と福祉的就労の両者の間に新たな選択肢をつくること、福祉的就労への労働法規の適用等が必要と考える。</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（１）実態調査</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骨格提言の内容に従って、まずは以下の実態調査を行うべきである。</w:t>
      </w:r>
    </w:p>
    <w:p w:rsidR="00D5480F" w:rsidRPr="00D5480F" w:rsidRDefault="00D5480F" w:rsidP="00E72552">
      <w:pPr>
        <w:numPr>
          <w:ilvl w:val="0"/>
          <w:numId w:val="8"/>
        </w:numPr>
        <w:adjustRightInd/>
        <w:spacing w:line="276" w:lineRule="auto"/>
        <w:textAlignment w:val="auto"/>
        <w:rPr>
          <w:rFonts w:ascii="Century"/>
          <w:kern w:val="2"/>
          <w:szCs w:val="21"/>
        </w:rPr>
      </w:pPr>
      <w:r w:rsidRPr="00D5480F">
        <w:rPr>
          <w:rFonts w:ascii="Century" w:hint="eastAsia"/>
          <w:kern w:val="2"/>
          <w:szCs w:val="21"/>
        </w:rPr>
        <w:t>最低賃金の減額特例を受けている就労継続支援Ａ型事業所</w:t>
      </w:r>
    </w:p>
    <w:p w:rsidR="00D5480F" w:rsidRPr="00D5480F" w:rsidRDefault="00D5480F" w:rsidP="00E72552">
      <w:pPr>
        <w:numPr>
          <w:ilvl w:val="0"/>
          <w:numId w:val="8"/>
        </w:numPr>
        <w:adjustRightInd/>
        <w:spacing w:line="276" w:lineRule="auto"/>
        <w:textAlignment w:val="auto"/>
        <w:rPr>
          <w:rFonts w:ascii="Century"/>
          <w:kern w:val="2"/>
          <w:szCs w:val="21"/>
        </w:rPr>
      </w:pPr>
      <w:r w:rsidRPr="00D5480F">
        <w:rPr>
          <w:rFonts w:ascii="Century" w:hint="eastAsia"/>
          <w:kern w:val="2"/>
          <w:szCs w:val="21"/>
        </w:rPr>
        <w:t>最低賃金の</w:t>
      </w:r>
      <w:r w:rsidRPr="00D5480F">
        <w:rPr>
          <w:rFonts w:ascii="Century" w:hint="eastAsia"/>
          <w:kern w:val="2"/>
          <w:szCs w:val="21"/>
        </w:rPr>
        <w:t>1</w:t>
      </w:r>
      <w:r w:rsidRPr="00D5480F">
        <w:rPr>
          <w:rFonts w:ascii="Century" w:hint="eastAsia"/>
          <w:kern w:val="2"/>
          <w:szCs w:val="21"/>
        </w:rPr>
        <w:t>／</w:t>
      </w:r>
      <w:r w:rsidRPr="00D5480F">
        <w:rPr>
          <w:rFonts w:ascii="Century" w:hint="eastAsia"/>
          <w:kern w:val="2"/>
          <w:szCs w:val="21"/>
        </w:rPr>
        <w:t>4</w:t>
      </w:r>
      <w:r w:rsidRPr="00D5480F">
        <w:rPr>
          <w:rFonts w:ascii="Century" w:hint="eastAsia"/>
          <w:kern w:val="2"/>
          <w:szCs w:val="21"/>
        </w:rPr>
        <w:t>以上の工賃を支払っている就労継続支援Ｂ型事業所</w:t>
      </w:r>
    </w:p>
    <w:p w:rsidR="00D5480F" w:rsidRPr="00D5480F" w:rsidRDefault="00D5480F" w:rsidP="00E72552">
      <w:pPr>
        <w:numPr>
          <w:ilvl w:val="0"/>
          <w:numId w:val="8"/>
        </w:numPr>
        <w:adjustRightInd/>
        <w:spacing w:line="276" w:lineRule="auto"/>
        <w:textAlignment w:val="auto"/>
        <w:rPr>
          <w:rFonts w:ascii="Century"/>
          <w:kern w:val="2"/>
          <w:szCs w:val="21"/>
        </w:rPr>
      </w:pPr>
      <w:r w:rsidRPr="00D5480F">
        <w:rPr>
          <w:rFonts w:ascii="Century" w:hint="eastAsia"/>
          <w:kern w:val="2"/>
          <w:szCs w:val="21"/>
        </w:rPr>
        <w:t>箕面市等、地方公共団体独自で最低賃金をクリアするための補助制度を設け、その下で運営されている事業所の他、新たに起業する事業所等。</w:t>
      </w:r>
    </w:p>
    <w:p w:rsidR="00D5480F" w:rsidRPr="00D5480F" w:rsidRDefault="00D5480F" w:rsidP="00E72552">
      <w:pPr>
        <w:numPr>
          <w:ilvl w:val="0"/>
          <w:numId w:val="8"/>
        </w:numPr>
        <w:adjustRightInd/>
        <w:spacing w:line="276" w:lineRule="auto"/>
        <w:textAlignment w:val="auto"/>
        <w:rPr>
          <w:rFonts w:ascii="Century"/>
          <w:kern w:val="2"/>
          <w:szCs w:val="21"/>
        </w:rPr>
      </w:pPr>
      <w:r w:rsidRPr="00D5480F">
        <w:rPr>
          <w:rFonts w:ascii="Century" w:hint="eastAsia"/>
          <w:kern w:val="2"/>
          <w:szCs w:val="21"/>
        </w:rPr>
        <w:t>滋賀県及び札幌市等、地方公共団体独自の制度として障害者と障害のない者がともに働く職場形態となっている事業所。</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（２）障害者雇用・就労にかかる労働施策と福祉施策を一体的・有機的に展開するための関係部署の連携の強化、体制の整備を</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社会保障審議会と労働政策審議会が連携し、この課題についての協議の場を設置し、障害者団体や関係自治体などからなる協議体を設置していただきたい。</w:t>
      </w:r>
    </w:p>
    <w:p w:rsidR="00786A90" w:rsidRDefault="00786A90" w:rsidP="00E72552">
      <w:pPr>
        <w:adjustRightInd/>
        <w:spacing w:line="276" w:lineRule="auto"/>
        <w:textAlignment w:val="auto"/>
        <w:rPr>
          <w:rFonts w:ascii="ＭＳ ゴシック" w:eastAsia="ＭＳ ゴシック" w:hAnsi="ＭＳ ゴシック"/>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４．</w:t>
      </w:r>
      <w:r w:rsidRPr="00D5480F">
        <w:rPr>
          <w:rFonts w:ascii="ＭＳ ゴシック" w:eastAsia="ＭＳ ゴシック" w:hAnsi="ＭＳ ゴシック"/>
          <w:kern w:val="2"/>
          <w:szCs w:val="21"/>
        </w:rPr>
        <w:t>その他の福祉サービスの在り方</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（１）障害の範囲</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制度の谷間を埋めるのではなく、なくす視点にもとづいて検討すべきである。病名で対象を決める仕組みを改め、障害者総合支援法第</w:t>
      </w:r>
      <w:r w:rsidRPr="00D5480F">
        <w:rPr>
          <w:rFonts w:ascii="Century" w:hint="eastAsia"/>
          <w:kern w:val="2"/>
          <w:szCs w:val="21"/>
        </w:rPr>
        <w:t>4</w:t>
      </w:r>
      <w:r w:rsidRPr="00D5480F">
        <w:rPr>
          <w:rFonts w:ascii="Century" w:hint="eastAsia"/>
          <w:kern w:val="2"/>
          <w:szCs w:val="21"/>
        </w:rPr>
        <w:t>条の定義を障害者基本法の定義に改正し、心身の機能の障害および社会的障壁との相互作用によって生じる障害のある者すべてが利用できる仕組みに改めるべきである。</w:t>
      </w:r>
    </w:p>
    <w:p w:rsidR="00D5480F" w:rsidRPr="00D5480F" w:rsidRDefault="00D5480F" w:rsidP="00E72552">
      <w:pPr>
        <w:adjustRightInd/>
        <w:spacing w:line="276" w:lineRule="auto"/>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 w:val="24"/>
          <w:szCs w:val="24"/>
          <w:bdr w:val="single" w:sz="4" w:space="0" w:color="auto"/>
        </w:rPr>
      </w:pPr>
      <w:r w:rsidRPr="00D5480F">
        <w:rPr>
          <w:rFonts w:ascii="ＭＳ ゴシック" w:eastAsia="ＭＳ ゴシック" w:hAnsi="ＭＳ ゴシック" w:hint="eastAsia"/>
          <w:kern w:val="2"/>
          <w:sz w:val="24"/>
          <w:szCs w:val="24"/>
          <w:bdr w:val="single" w:sz="4" w:space="0" w:color="auto"/>
        </w:rPr>
        <w:t>Ⅲ.</w:t>
      </w:r>
      <w:r w:rsidRPr="00D5480F">
        <w:rPr>
          <w:rFonts w:ascii="ＭＳ ゴシック" w:eastAsia="ＭＳ ゴシック" w:hAnsi="ＭＳ ゴシック"/>
          <w:kern w:val="2"/>
          <w:sz w:val="24"/>
          <w:szCs w:val="24"/>
          <w:bdr w:val="single" w:sz="4" w:space="0" w:color="auto"/>
        </w:rPr>
        <w:t xml:space="preserve"> 障害支援区分の認定を含めた支給決定の在り方</w:t>
      </w:r>
    </w:p>
    <w:p w:rsidR="00D5480F" w:rsidRPr="00D5480F" w:rsidRDefault="00D5480F" w:rsidP="00E72552">
      <w:pPr>
        <w:adjustRightInd/>
        <w:spacing w:line="276" w:lineRule="auto"/>
        <w:jc w:val="left"/>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１．支援区分への変更、判定方法の変更の影響に関する実態調査</w:t>
      </w:r>
    </w:p>
    <w:p w:rsidR="00D5480F" w:rsidRPr="00D5480F" w:rsidRDefault="00D5480F" w:rsidP="00E72552">
      <w:pPr>
        <w:adjustRightInd/>
        <w:spacing w:line="276" w:lineRule="auto"/>
        <w:ind w:firstLineChars="100" w:firstLine="210"/>
        <w:jc w:val="left"/>
        <w:textAlignment w:val="auto"/>
        <w:rPr>
          <w:rFonts w:ascii="Century"/>
          <w:kern w:val="2"/>
          <w:szCs w:val="21"/>
        </w:rPr>
      </w:pPr>
      <w:r w:rsidRPr="00D5480F">
        <w:rPr>
          <w:rFonts w:ascii="Century" w:hint="eastAsia"/>
          <w:kern w:val="2"/>
          <w:szCs w:val="21"/>
        </w:rPr>
        <w:t>骨格提言においてニーズアセスメントを経て協議調整モデルが提起されている。一方、昨年には知的精神障害者の区分変更率が高いことを受けて障害程度区分が障害支援区分として改定された。これら支援区分への変更、判定方法の変更の影響に関する</w:t>
      </w:r>
      <w:r w:rsidRPr="00D5480F">
        <w:rPr>
          <w:rFonts w:ascii="Century" w:hint="eastAsia"/>
          <w:kern w:val="2"/>
          <w:szCs w:val="21"/>
          <w:u w:val="single"/>
        </w:rPr>
        <w:t>実態調査を行い、その上で骨格提言実現に向けての議論を</w:t>
      </w:r>
      <w:r w:rsidRPr="00D5480F">
        <w:rPr>
          <w:rFonts w:ascii="Century" w:hint="eastAsia"/>
          <w:kern w:val="2"/>
          <w:szCs w:val="21"/>
          <w:u w:val="single"/>
        </w:rPr>
        <w:t>WG</w:t>
      </w:r>
      <w:r w:rsidRPr="00D5480F">
        <w:rPr>
          <w:rFonts w:ascii="Century" w:hint="eastAsia"/>
          <w:kern w:val="2"/>
          <w:szCs w:val="21"/>
          <w:u w:val="single"/>
        </w:rPr>
        <w:t>や審議会において進める</w:t>
      </w:r>
      <w:r w:rsidRPr="00D5480F">
        <w:rPr>
          <w:rFonts w:ascii="Century" w:hint="eastAsia"/>
          <w:kern w:val="2"/>
          <w:szCs w:val="21"/>
        </w:rPr>
        <w:t>こと。</w:t>
      </w: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２．協議調整モデルへ</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サービス利用等計画よりも支給決定の一勘案事項に過ぎないはずの障害支援区分によって利用できるサービスの種類、量、単価が決定されている。また、障害支援区分は医学モデルによるアセスメントであり、本人の意向やその人が望む暮らし方、ニーズアセスメントはできない。本人の意向を反映したサービス利用等計画に基づく支給決定を行うためには、骨格提言で示された協議調整に基づく支給決定のしくみへと移行していく必要がある。この仕組みを実現するため、試行事業等を行い、具体的な制度設計につなげていくこと。</w:t>
      </w:r>
    </w:p>
    <w:p w:rsidR="00D5480F" w:rsidRPr="00D5480F" w:rsidRDefault="00D5480F" w:rsidP="00E72552">
      <w:pPr>
        <w:adjustRightInd/>
        <w:spacing w:line="276" w:lineRule="auto"/>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 w:val="24"/>
          <w:szCs w:val="24"/>
          <w:bdr w:val="single" w:sz="4" w:space="0" w:color="auto"/>
        </w:rPr>
      </w:pPr>
      <w:r w:rsidRPr="00D5480F">
        <w:rPr>
          <w:rFonts w:ascii="ＭＳ ゴシック" w:eastAsia="ＭＳ ゴシック" w:hAnsi="ＭＳ ゴシック" w:hint="eastAsia"/>
          <w:kern w:val="2"/>
          <w:sz w:val="24"/>
          <w:szCs w:val="24"/>
          <w:bdr w:val="single" w:sz="4" w:space="0" w:color="auto"/>
        </w:rPr>
        <w:t>Ⅳ.</w:t>
      </w:r>
      <w:r w:rsidRPr="00D5480F">
        <w:rPr>
          <w:rFonts w:ascii="ＭＳ ゴシック" w:eastAsia="ＭＳ ゴシック" w:hAnsi="ＭＳ ゴシック"/>
          <w:kern w:val="2"/>
          <w:sz w:val="24"/>
          <w:szCs w:val="24"/>
          <w:bdr w:val="single" w:sz="4" w:space="0" w:color="auto"/>
        </w:rPr>
        <w:t xml:space="preserve"> 障害者の意思決定支援の在り方、障害福祉サービスの利用の観点からの成年後見制度の利用促進の在り方</w:t>
      </w:r>
    </w:p>
    <w:p w:rsidR="00D5480F" w:rsidRPr="00D5480F" w:rsidRDefault="00786A90" w:rsidP="00E72552">
      <w:pPr>
        <w:adjustRightInd/>
        <w:spacing w:line="276" w:lineRule="auto"/>
        <w:textAlignment w:val="auto"/>
        <w:rPr>
          <w:rFonts w:ascii="ＭＳ ゴシック" w:eastAsia="ＭＳ ゴシック" w:hAnsi="ＭＳ ゴシック"/>
          <w:kern w:val="2"/>
          <w:szCs w:val="21"/>
        </w:rPr>
      </w:pPr>
      <w:r>
        <w:rPr>
          <w:rFonts w:ascii="ＭＳ ゴシック" w:eastAsia="ＭＳ ゴシック" w:hAnsi="ＭＳ ゴシック"/>
          <w:kern w:val="2"/>
          <w:szCs w:val="21"/>
        </w:rPr>
        <w:t>１．</w:t>
      </w:r>
      <w:r w:rsidR="00D5480F" w:rsidRPr="00D5480F">
        <w:rPr>
          <w:rFonts w:ascii="ＭＳ ゴシック" w:eastAsia="ＭＳ ゴシック" w:hAnsi="ＭＳ ゴシック"/>
          <w:kern w:val="2"/>
          <w:szCs w:val="21"/>
        </w:rPr>
        <w:t>意志決定支援</w:t>
      </w:r>
    </w:p>
    <w:p w:rsidR="00D5480F" w:rsidRPr="00786A90" w:rsidRDefault="00D5480F" w:rsidP="00E72552">
      <w:pPr>
        <w:pStyle w:val="aa"/>
        <w:numPr>
          <w:ilvl w:val="1"/>
          <w:numId w:val="1"/>
        </w:numPr>
        <w:adjustRightInd/>
        <w:spacing w:line="276" w:lineRule="auto"/>
        <w:ind w:leftChars="0"/>
        <w:textAlignment w:val="auto"/>
        <w:rPr>
          <w:rFonts w:ascii="Century"/>
          <w:kern w:val="2"/>
          <w:szCs w:val="21"/>
        </w:rPr>
      </w:pPr>
      <w:r w:rsidRPr="00786A90">
        <w:rPr>
          <w:rFonts w:ascii="Century" w:hint="eastAsia"/>
          <w:kern w:val="2"/>
          <w:szCs w:val="21"/>
        </w:rPr>
        <w:t>障害者権利条約批准をふまえた法改正を</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障害者権利条約を踏まえ、代行決定ではなく法的能力を行使するための意思決定支援について検討を進めていく必要がある。「</w:t>
      </w:r>
      <w:r w:rsidRPr="00D5480F">
        <w:rPr>
          <w:rFonts w:ascii="Century" w:hint="eastAsia"/>
          <w:kern w:val="2"/>
          <w:szCs w:val="21"/>
          <w:u w:val="single"/>
        </w:rPr>
        <w:t>必要とする支援を受けながら、意思</w:t>
      </w:r>
      <w:r w:rsidRPr="00D5480F">
        <w:rPr>
          <w:rFonts w:ascii="Century" w:hint="eastAsia"/>
          <w:kern w:val="2"/>
          <w:szCs w:val="21"/>
          <w:u w:val="single"/>
        </w:rPr>
        <w:t>(</w:t>
      </w:r>
      <w:r w:rsidRPr="00D5480F">
        <w:rPr>
          <w:rFonts w:ascii="Century" w:hint="eastAsia"/>
          <w:kern w:val="2"/>
          <w:szCs w:val="21"/>
          <w:u w:val="single"/>
        </w:rPr>
        <w:t>自己</w:t>
      </w:r>
      <w:r w:rsidRPr="00D5480F">
        <w:rPr>
          <w:rFonts w:ascii="Century" w:hint="eastAsia"/>
          <w:kern w:val="2"/>
          <w:szCs w:val="21"/>
          <w:u w:val="single"/>
        </w:rPr>
        <w:t>)</w:t>
      </w:r>
      <w:r w:rsidRPr="00D5480F">
        <w:rPr>
          <w:rFonts w:ascii="Century" w:hint="eastAsia"/>
          <w:kern w:val="2"/>
          <w:szCs w:val="21"/>
          <w:u w:val="single"/>
        </w:rPr>
        <w:t>決定を行う権利が保障される旨の規定</w:t>
      </w:r>
      <w:r w:rsidRPr="00D5480F">
        <w:rPr>
          <w:rFonts w:ascii="Century" w:hint="eastAsia"/>
          <w:kern w:val="2"/>
          <w:szCs w:val="21"/>
        </w:rPr>
        <w:t>」、「</w:t>
      </w:r>
      <w:r w:rsidRPr="00D5480F">
        <w:rPr>
          <w:rFonts w:ascii="Century" w:hint="eastAsia"/>
          <w:kern w:val="2"/>
          <w:szCs w:val="21"/>
        </w:rPr>
        <w:t xml:space="preserve"> </w:t>
      </w:r>
      <w:r w:rsidRPr="00D5480F">
        <w:rPr>
          <w:rFonts w:ascii="Century" w:hint="eastAsia"/>
          <w:kern w:val="2"/>
          <w:szCs w:val="21"/>
          <w:u w:val="single"/>
        </w:rPr>
        <w:t>障害者は、自らの意思に基づきどこで誰と住むかを決める権利、どのように暮らしていくかを決める権利、特定の様式での生活を強制されない権利を有し、そのための支援を受ける権利が保障される旨の規定</w:t>
      </w:r>
      <w:r w:rsidRPr="00D5480F">
        <w:rPr>
          <w:rFonts w:ascii="Century" w:hint="eastAsia"/>
          <w:kern w:val="2"/>
          <w:szCs w:val="21"/>
        </w:rPr>
        <w:t>」を設けるようにすること。</w:t>
      </w:r>
    </w:p>
    <w:p w:rsidR="00D5480F" w:rsidRPr="00786A90" w:rsidRDefault="00D5480F" w:rsidP="00E72552">
      <w:pPr>
        <w:pStyle w:val="aa"/>
        <w:numPr>
          <w:ilvl w:val="1"/>
          <w:numId w:val="1"/>
        </w:numPr>
        <w:adjustRightInd/>
        <w:spacing w:line="276" w:lineRule="auto"/>
        <w:ind w:leftChars="0"/>
        <w:textAlignment w:val="auto"/>
        <w:rPr>
          <w:rFonts w:ascii="Century"/>
          <w:kern w:val="2"/>
          <w:szCs w:val="21"/>
        </w:rPr>
      </w:pPr>
      <w:r w:rsidRPr="00786A90">
        <w:rPr>
          <w:rFonts w:ascii="Century" w:hint="eastAsia"/>
          <w:kern w:val="2"/>
          <w:szCs w:val="21"/>
        </w:rPr>
        <w:t>意思決定支援に密接に関わるパーソナルアシスタンス制度の実現を</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地域での日常生活における意思決定支援と密接に関わる支援であるパーソナルアシスタンス制度を実現すること。</w:t>
      </w:r>
    </w:p>
    <w:p w:rsidR="00786A90" w:rsidRDefault="00786A90" w:rsidP="00E72552">
      <w:pPr>
        <w:adjustRightInd/>
        <w:spacing w:line="276" w:lineRule="auto"/>
        <w:textAlignment w:val="auto"/>
        <w:rPr>
          <w:rFonts w:ascii="Century"/>
          <w:kern w:val="2"/>
          <w:szCs w:val="21"/>
        </w:rPr>
      </w:pPr>
    </w:p>
    <w:p w:rsidR="00D5480F" w:rsidRPr="00F346EA" w:rsidRDefault="00786A90" w:rsidP="00E72552">
      <w:pPr>
        <w:adjustRightInd/>
        <w:spacing w:line="276" w:lineRule="auto"/>
        <w:textAlignment w:val="auto"/>
        <w:rPr>
          <w:rFonts w:asciiTheme="majorEastAsia" w:eastAsiaTheme="majorEastAsia" w:hAnsiTheme="majorEastAsia"/>
          <w:kern w:val="2"/>
          <w:szCs w:val="21"/>
        </w:rPr>
      </w:pPr>
      <w:r w:rsidRPr="00F346EA">
        <w:rPr>
          <w:rFonts w:asciiTheme="majorEastAsia" w:eastAsiaTheme="majorEastAsia" w:hAnsiTheme="majorEastAsia" w:hint="eastAsia"/>
          <w:kern w:val="2"/>
          <w:szCs w:val="21"/>
        </w:rPr>
        <w:t>２．</w:t>
      </w:r>
      <w:r w:rsidR="00D5480F" w:rsidRPr="00F346EA">
        <w:rPr>
          <w:rFonts w:asciiTheme="majorEastAsia" w:eastAsiaTheme="majorEastAsia" w:hAnsiTheme="majorEastAsia" w:hint="eastAsia"/>
          <w:kern w:val="2"/>
          <w:szCs w:val="21"/>
        </w:rPr>
        <w:t>成年後見制度</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障害者権利委員会は、代替決定禁止説をとり、締約国に対して成年後見制度が承認する代替決定制度から自己決定（意思決定支援）制度への改正を促している。こういった動向等も踏まえ、</w:t>
      </w:r>
      <w:r w:rsidRPr="00D5480F">
        <w:rPr>
          <w:rFonts w:ascii="Century" w:hint="eastAsia"/>
          <w:kern w:val="2"/>
          <w:szCs w:val="21"/>
          <w:u w:val="single"/>
        </w:rPr>
        <w:t>成年後見類型の利用を最大限抑制し、どうしても代理決定が必要な場合については本人の同意を必要とする補助類型の利用を中心とすべき</w:t>
      </w:r>
      <w:r w:rsidRPr="00D5480F">
        <w:rPr>
          <w:rFonts w:ascii="Century" w:hint="eastAsia"/>
          <w:kern w:val="2"/>
          <w:szCs w:val="21"/>
        </w:rPr>
        <w:t>である。遷延性障害などでどうしても本人から直接意思の確認ができない場合についてのみ、例外的に成年後見類型、保佐類型</w:t>
      </w:r>
      <w:r w:rsidRPr="00D5480F">
        <w:rPr>
          <w:rFonts w:ascii="Century" w:hint="eastAsia"/>
          <w:kern w:val="2"/>
          <w:szCs w:val="21"/>
        </w:rPr>
        <w:lastRenderedPageBreak/>
        <w:t>の利用を認める方向での改革が必要である。</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成年後見制度と意思決定支援の関係においては、</w:t>
      </w:r>
      <w:r w:rsidRPr="00D5480F">
        <w:rPr>
          <w:rFonts w:ascii="Century" w:hint="eastAsia"/>
          <w:kern w:val="2"/>
          <w:szCs w:val="21"/>
          <w:u w:val="single"/>
        </w:rPr>
        <w:t>本人に代わって何らかの決定をする者と本人の意思を尊重、確認しながら権利擁護活動を行う制度上の区別をするべき</w:t>
      </w:r>
      <w:r w:rsidRPr="00D5480F">
        <w:rPr>
          <w:rFonts w:ascii="Century" w:hint="eastAsia"/>
          <w:kern w:val="2"/>
          <w:szCs w:val="21"/>
        </w:rPr>
        <w:t>である。</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「障害者がその法的能力の行使に当たって必要とする支援を利用する機会を提供するための適当な措置」に関して、制度設計、改革のために、</w:t>
      </w:r>
      <w:r w:rsidRPr="00D5480F">
        <w:rPr>
          <w:rFonts w:ascii="Century" w:hint="eastAsia"/>
          <w:kern w:val="2"/>
          <w:szCs w:val="21"/>
          <w:u w:val="single"/>
        </w:rPr>
        <w:t>厚生労働省と法務省などの関係省庁との連携、障害者団体等・関係団体との間に障害当事者が過半数で構成される検討の場を設ける</w:t>
      </w:r>
      <w:r w:rsidRPr="00D5480F">
        <w:rPr>
          <w:rFonts w:ascii="Century" w:hint="eastAsia"/>
          <w:kern w:val="2"/>
          <w:szCs w:val="21"/>
        </w:rPr>
        <w:t>べきである。</w:t>
      </w:r>
    </w:p>
    <w:p w:rsidR="00D5480F" w:rsidRPr="00D5480F" w:rsidRDefault="00D5480F" w:rsidP="00E72552">
      <w:pPr>
        <w:adjustRightInd/>
        <w:spacing w:line="276" w:lineRule="auto"/>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 w:val="24"/>
          <w:szCs w:val="24"/>
          <w:bdr w:val="single" w:sz="4" w:space="0" w:color="auto"/>
        </w:rPr>
      </w:pPr>
      <w:r w:rsidRPr="00D5480F">
        <w:rPr>
          <w:rFonts w:ascii="ＭＳ ゴシック" w:eastAsia="ＭＳ ゴシック" w:hAnsi="ＭＳ ゴシック" w:hint="eastAsia"/>
          <w:kern w:val="2"/>
          <w:sz w:val="24"/>
          <w:szCs w:val="24"/>
          <w:bdr w:val="single" w:sz="4" w:space="0" w:color="auto"/>
        </w:rPr>
        <w:t>Ⅴ.</w:t>
      </w:r>
      <w:r w:rsidRPr="00D5480F">
        <w:rPr>
          <w:rFonts w:ascii="ＭＳ ゴシック" w:eastAsia="ＭＳ ゴシック" w:hAnsi="ＭＳ ゴシック"/>
          <w:kern w:val="2"/>
          <w:sz w:val="24"/>
          <w:szCs w:val="24"/>
          <w:bdr w:val="single" w:sz="4" w:space="0" w:color="auto"/>
        </w:rPr>
        <w:t xml:space="preserve"> 手話通訳等を行う者の派遣その他の聴覚、言語機能、音声機能その他の障害のため意思疎通を図ることに支障がある障 害者等に対する支援の在り方</w:t>
      </w: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１．意思疎通</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 xml:space="preserve">　パーソナルアシスタンス制度を目指して、「盲ろう者通訳・介助者派遣事業」を発展させるための財源を確保するために個別給付化するとともに、通訳介助者の養成を当事者が参加する形で</w:t>
      </w:r>
      <w:r w:rsidR="002E4D81">
        <w:rPr>
          <w:rFonts w:ascii="Century" w:hint="eastAsia"/>
          <w:kern w:val="2"/>
          <w:szCs w:val="21"/>
        </w:rPr>
        <w:t>、</w:t>
      </w:r>
      <w:r w:rsidRPr="00D5480F">
        <w:rPr>
          <w:rFonts w:ascii="Century" w:hint="eastAsia"/>
          <w:kern w:val="2"/>
          <w:szCs w:val="21"/>
        </w:rPr>
        <w:t>都道府県レベルで義務化すること。</w:t>
      </w:r>
    </w:p>
    <w:p w:rsidR="00D5480F" w:rsidRPr="00D5480F" w:rsidRDefault="00D5480F" w:rsidP="00E72552">
      <w:pPr>
        <w:adjustRightInd/>
        <w:spacing w:line="276" w:lineRule="auto"/>
        <w:textAlignment w:val="auto"/>
        <w:rPr>
          <w:rFonts w:ascii="Century"/>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 w:val="24"/>
          <w:szCs w:val="24"/>
          <w:bdr w:val="single" w:sz="4" w:space="0" w:color="auto"/>
        </w:rPr>
      </w:pPr>
      <w:r w:rsidRPr="00D5480F">
        <w:rPr>
          <w:rFonts w:ascii="ＭＳ ゴシック" w:eastAsia="ＭＳ ゴシック" w:hAnsi="ＭＳ ゴシック" w:hint="eastAsia"/>
          <w:kern w:val="2"/>
          <w:sz w:val="24"/>
          <w:szCs w:val="24"/>
          <w:bdr w:val="single" w:sz="4" w:space="0" w:color="auto"/>
        </w:rPr>
        <w:t>Ⅵ.</w:t>
      </w:r>
      <w:r w:rsidRPr="00D5480F">
        <w:rPr>
          <w:rFonts w:ascii="ＭＳ ゴシック" w:eastAsia="ＭＳ ゴシック" w:hAnsi="ＭＳ ゴシック"/>
          <w:kern w:val="2"/>
          <w:sz w:val="24"/>
          <w:szCs w:val="24"/>
          <w:bdr w:val="single" w:sz="4" w:space="0" w:color="auto"/>
        </w:rPr>
        <w:t xml:space="preserve"> 精神障害者及び高齢の障害者に対する支援の在り方</w:t>
      </w: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１．「精神障害者に対する支援の在り方」について</w:t>
      </w:r>
    </w:p>
    <w:p w:rsidR="00D5480F" w:rsidRPr="00786A90" w:rsidRDefault="00D5480F" w:rsidP="00E72552">
      <w:pPr>
        <w:pStyle w:val="aa"/>
        <w:numPr>
          <w:ilvl w:val="1"/>
          <w:numId w:val="5"/>
        </w:numPr>
        <w:adjustRightInd/>
        <w:spacing w:line="276" w:lineRule="auto"/>
        <w:ind w:leftChars="0"/>
        <w:textAlignment w:val="auto"/>
        <w:rPr>
          <w:rFonts w:ascii="Century"/>
          <w:kern w:val="2"/>
          <w:szCs w:val="21"/>
        </w:rPr>
      </w:pPr>
      <w:r w:rsidRPr="00786A90">
        <w:rPr>
          <w:rFonts w:ascii="Century" w:hint="eastAsia"/>
          <w:kern w:val="2"/>
          <w:szCs w:val="21"/>
        </w:rPr>
        <w:t>権利条約の理念にそぐわない病院の敷地内グループホーム制度を廃止すること</w:t>
      </w:r>
    </w:p>
    <w:p w:rsidR="00786A90" w:rsidRDefault="00D5480F" w:rsidP="00E72552">
      <w:pPr>
        <w:pStyle w:val="aa"/>
        <w:numPr>
          <w:ilvl w:val="1"/>
          <w:numId w:val="5"/>
        </w:numPr>
        <w:adjustRightInd/>
        <w:spacing w:line="276" w:lineRule="auto"/>
        <w:ind w:leftChars="0"/>
        <w:textAlignment w:val="auto"/>
        <w:rPr>
          <w:rFonts w:ascii="Century"/>
          <w:kern w:val="2"/>
          <w:szCs w:val="21"/>
        </w:rPr>
      </w:pPr>
      <w:r w:rsidRPr="00786A90">
        <w:rPr>
          <w:rFonts w:ascii="Century" w:hint="eastAsia"/>
          <w:kern w:val="2"/>
          <w:szCs w:val="21"/>
        </w:rPr>
        <w:t>地域生活基盤への集中的な財政の投入</w:t>
      </w:r>
    </w:p>
    <w:p w:rsidR="00786A90" w:rsidRPr="00786A90" w:rsidRDefault="00D5480F" w:rsidP="00E72552">
      <w:pPr>
        <w:adjustRightInd/>
        <w:spacing w:line="276" w:lineRule="auto"/>
        <w:ind w:firstLineChars="100" w:firstLine="210"/>
        <w:textAlignment w:val="auto"/>
        <w:rPr>
          <w:rFonts w:ascii="Century"/>
          <w:kern w:val="2"/>
          <w:szCs w:val="21"/>
        </w:rPr>
      </w:pPr>
      <w:r w:rsidRPr="00786A90">
        <w:rPr>
          <w:rFonts w:ascii="Century" w:hint="eastAsia"/>
          <w:kern w:val="2"/>
          <w:szCs w:val="21"/>
        </w:rPr>
        <w:t>長期入院者の退院促進・地域移行支援を進めるために、住居を含めた地域生活基盤整備づくりに集中的な財源を投入すべきである。</w:t>
      </w:r>
    </w:p>
    <w:p w:rsidR="00D5480F" w:rsidRPr="00786A90" w:rsidRDefault="00D5480F" w:rsidP="00E72552">
      <w:pPr>
        <w:pStyle w:val="aa"/>
        <w:numPr>
          <w:ilvl w:val="1"/>
          <w:numId w:val="5"/>
        </w:numPr>
        <w:adjustRightInd/>
        <w:spacing w:line="276" w:lineRule="auto"/>
        <w:ind w:leftChars="0"/>
        <w:textAlignment w:val="auto"/>
        <w:rPr>
          <w:rFonts w:ascii="Century"/>
          <w:kern w:val="2"/>
          <w:szCs w:val="21"/>
        </w:rPr>
      </w:pPr>
      <w:r w:rsidRPr="00786A90">
        <w:rPr>
          <w:rFonts w:ascii="Century" w:hint="eastAsia"/>
          <w:kern w:val="2"/>
          <w:szCs w:val="21"/>
        </w:rPr>
        <w:t>障害特性を踏まえた多様性を持った新たな地域支援体制の構築</w:t>
      </w:r>
    </w:p>
    <w:p w:rsidR="00D5480F" w:rsidRPr="00D5480F" w:rsidRDefault="00D5480F" w:rsidP="00E72552">
      <w:pPr>
        <w:adjustRightInd/>
        <w:spacing w:line="276" w:lineRule="auto"/>
        <w:ind w:firstLineChars="100" w:firstLine="210"/>
        <w:textAlignment w:val="auto"/>
        <w:rPr>
          <w:rFonts w:ascii="Century"/>
          <w:kern w:val="2"/>
          <w:szCs w:val="21"/>
        </w:rPr>
      </w:pPr>
      <w:r w:rsidRPr="00D5480F">
        <w:rPr>
          <w:rFonts w:ascii="Century" w:hint="eastAsia"/>
          <w:kern w:val="2"/>
          <w:szCs w:val="21"/>
        </w:rPr>
        <w:t>既存のサービス類型では利用しづらい人への柔軟な支援が可能な制度をつくる必要がある。さらに、重度訪問介護を精神障害者のニーズにあった利用ができるよう制度の範囲拡大・応用を含めて検討していただきたい。</w:t>
      </w:r>
    </w:p>
    <w:p w:rsidR="00D5480F" w:rsidRPr="00786A90" w:rsidRDefault="00D5480F" w:rsidP="00E72552">
      <w:pPr>
        <w:pStyle w:val="aa"/>
        <w:numPr>
          <w:ilvl w:val="1"/>
          <w:numId w:val="5"/>
        </w:numPr>
        <w:adjustRightInd/>
        <w:spacing w:line="276" w:lineRule="auto"/>
        <w:ind w:leftChars="0"/>
        <w:textAlignment w:val="auto"/>
        <w:rPr>
          <w:rFonts w:ascii="Century"/>
          <w:kern w:val="2"/>
          <w:szCs w:val="21"/>
        </w:rPr>
      </w:pPr>
      <w:r w:rsidRPr="00786A90">
        <w:rPr>
          <w:rFonts w:ascii="Century" w:hint="eastAsia"/>
          <w:kern w:val="2"/>
          <w:szCs w:val="21"/>
        </w:rPr>
        <w:t>精神科病棟における入院時、入院中、退院時の権利擁護の仕組みの確立</w:t>
      </w:r>
    </w:p>
    <w:p w:rsidR="00D5480F" w:rsidRPr="00786A90" w:rsidRDefault="00D5480F" w:rsidP="00E72552">
      <w:pPr>
        <w:pStyle w:val="aa"/>
        <w:numPr>
          <w:ilvl w:val="1"/>
          <w:numId w:val="5"/>
        </w:numPr>
        <w:adjustRightInd/>
        <w:spacing w:line="276" w:lineRule="auto"/>
        <w:ind w:leftChars="0"/>
        <w:textAlignment w:val="auto"/>
        <w:rPr>
          <w:rFonts w:ascii="Century"/>
          <w:kern w:val="2"/>
          <w:szCs w:val="21"/>
        </w:rPr>
      </w:pPr>
      <w:r w:rsidRPr="00786A90">
        <w:rPr>
          <w:rFonts w:ascii="Century" w:hint="eastAsia"/>
          <w:kern w:val="2"/>
          <w:szCs w:val="21"/>
        </w:rPr>
        <w:t>当事者による支援活動を更に充実させるための活動保障の充実</w:t>
      </w:r>
    </w:p>
    <w:p w:rsidR="00786A90" w:rsidRDefault="00786A90" w:rsidP="00E72552">
      <w:pPr>
        <w:adjustRightInd/>
        <w:spacing w:line="276" w:lineRule="auto"/>
        <w:textAlignment w:val="auto"/>
        <w:rPr>
          <w:rFonts w:ascii="ＭＳ ゴシック" w:eastAsia="ＭＳ ゴシック" w:hAnsi="ＭＳ ゴシック"/>
          <w:kern w:val="2"/>
          <w:szCs w:val="21"/>
        </w:rPr>
      </w:pPr>
    </w:p>
    <w:p w:rsidR="00D5480F" w:rsidRPr="00D5480F" w:rsidRDefault="00D5480F" w:rsidP="00E72552">
      <w:pPr>
        <w:adjustRightInd/>
        <w:spacing w:line="276" w:lineRule="auto"/>
        <w:textAlignment w:val="auto"/>
        <w:rPr>
          <w:rFonts w:ascii="ＭＳ ゴシック" w:eastAsia="ＭＳ ゴシック" w:hAnsi="ＭＳ ゴシック"/>
          <w:kern w:val="2"/>
          <w:szCs w:val="21"/>
        </w:rPr>
      </w:pPr>
      <w:r w:rsidRPr="00D5480F">
        <w:rPr>
          <w:rFonts w:ascii="ＭＳ ゴシック" w:eastAsia="ＭＳ ゴシック" w:hAnsi="ＭＳ ゴシック" w:hint="eastAsia"/>
          <w:kern w:val="2"/>
          <w:szCs w:val="21"/>
        </w:rPr>
        <w:t xml:space="preserve">２．「高齢の障害者に対する支援」について </w:t>
      </w:r>
    </w:p>
    <w:p w:rsidR="00D5480F" w:rsidRPr="00D5480F" w:rsidRDefault="00D5480F" w:rsidP="00E72552">
      <w:pPr>
        <w:adjustRightInd/>
        <w:spacing w:line="276" w:lineRule="auto"/>
        <w:textAlignment w:val="auto"/>
        <w:rPr>
          <w:rFonts w:ascii="Century"/>
          <w:kern w:val="2"/>
          <w:szCs w:val="21"/>
        </w:rPr>
      </w:pPr>
      <w:r w:rsidRPr="00D5480F">
        <w:rPr>
          <w:rFonts w:ascii="Century" w:hint="eastAsia"/>
          <w:kern w:val="2"/>
          <w:szCs w:val="21"/>
        </w:rPr>
        <w:t xml:space="preserve">  </w:t>
      </w:r>
      <w:r w:rsidRPr="00D5480F">
        <w:rPr>
          <w:rFonts w:ascii="Century" w:hint="eastAsia"/>
          <w:kern w:val="2"/>
          <w:szCs w:val="21"/>
        </w:rPr>
        <w:t>自治体によっては、</w:t>
      </w:r>
      <w:r w:rsidRPr="00D5480F">
        <w:rPr>
          <w:rFonts w:ascii="Century" w:hint="eastAsia"/>
          <w:kern w:val="2"/>
          <w:szCs w:val="21"/>
        </w:rPr>
        <w:t>65</w:t>
      </w:r>
      <w:r w:rsidRPr="00D5480F">
        <w:rPr>
          <w:rFonts w:ascii="Century" w:hint="eastAsia"/>
          <w:kern w:val="2"/>
          <w:szCs w:val="21"/>
        </w:rPr>
        <w:t>歳になるとサービス水準の切り下げが強制される場合がある。介護保険併給の場合は、国庫負担基準が極端に低く設定されているためである。これを改めかかった費用の</w:t>
      </w:r>
      <w:r w:rsidRPr="00D5480F">
        <w:rPr>
          <w:rFonts w:ascii="Century" w:hint="eastAsia"/>
          <w:kern w:val="2"/>
          <w:szCs w:val="21"/>
        </w:rPr>
        <w:t>1/2</w:t>
      </w:r>
      <w:r w:rsidRPr="00D5480F">
        <w:rPr>
          <w:rFonts w:ascii="Century" w:hint="eastAsia"/>
          <w:kern w:val="2"/>
          <w:szCs w:val="21"/>
        </w:rPr>
        <w:t>を国が負担する仕組みが必要である。</w:t>
      </w:r>
    </w:p>
    <w:p w:rsidR="006606EF" w:rsidRDefault="006606EF" w:rsidP="00E72552">
      <w:pPr>
        <w:spacing w:line="276" w:lineRule="auto"/>
      </w:pPr>
    </w:p>
    <w:p w:rsidR="005C7178" w:rsidRPr="00C339DB" w:rsidRDefault="005C7178" w:rsidP="00E72552">
      <w:pPr>
        <w:pStyle w:val="a3"/>
        <w:spacing w:line="276" w:lineRule="auto"/>
        <w:jc w:val="right"/>
        <w:rPr>
          <w:rFonts w:ascii="ＭＳ ゴシック" w:eastAsia="ＭＳ ゴシック" w:hAnsi="ＭＳ ゴシック"/>
          <w:sz w:val="24"/>
          <w:szCs w:val="24"/>
        </w:rPr>
      </w:pPr>
      <w:r w:rsidRPr="00C339DB">
        <w:rPr>
          <w:rFonts w:ascii="ＭＳ ゴシック" w:eastAsia="ＭＳ ゴシック" w:hAnsi="ＭＳ ゴシック" w:hint="eastAsia"/>
          <w:sz w:val="24"/>
          <w:szCs w:val="24"/>
        </w:rPr>
        <w:t xml:space="preserve">〒101-0054　</w:t>
      </w:r>
      <w:smartTag w:uri="schemas-alpsmap-com/alpsmap" w:element="address">
        <w:smartTagPr>
          <w:attr w:name="ProductID" w:val="東京都千代田区神田錦町３丁目 128480321 503150105"/>
        </w:smartTagPr>
        <w:r w:rsidRPr="00C339DB">
          <w:rPr>
            <w:rFonts w:ascii="ＭＳ ゴシック" w:eastAsia="ＭＳ ゴシック" w:hAnsi="ＭＳ ゴシック" w:hint="eastAsia"/>
            <w:sz w:val="24"/>
            <w:szCs w:val="24"/>
          </w:rPr>
          <w:t>東京都千代田区神田錦町3-</w:t>
        </w:r>
      </w:smartTag>
      <w:r w:rsidRPr="00C339DB">
        <w:rPr>
          <w:rFonts w:ascii="ＭＳ ゴシック" w:eastAsia="ＭＳ ゴシック" w:hAnsi="ＭＳ ゴシック" w:hint="eastAsia"/>
          <w:sz w:val="24"/>
          <w:szCs w:val="24"/>
        </w:rPr>
        <w:t>11-8　武蔵野ビル５F</w:t>
      </w:r>
    </w:p>
    <w:p w:rsidR="005C7178" w:rsidRPr="00C339DB" w:rsidRDefault="005C7178" w:rsidP="00E72552">
      <w:pPr>
        <w:pStyle w:val="a3"/>
        <w:spacing w:line="276" w:lineRule="auto"/>
        <w:jc w:val="right"/>
        <w:rPr>
          <w:rFonts w:ascii="ＭＳ ゴシック" w:eastAsia="ＭＳ ゴシック" w:hAnsi="ＭＳ ゴシック"/>
          <w:sz w:val="24"/>
          <w:szCs w:val="24"/>
        </w:rPr>
      </w:pPr>
      <w:r w:rsidRPr="00C339DB">
        <w:rPr>
          <w:rFonts w:ascii="ＭＳ ゴシック" w:eastAsia="ＭＳ ゴシック" w:hAnsi="ＭＳ ゴシック"/>
          <w:sz w:val="24"/>
          <w:szCs w:val="24"/>
        </w:rPr>
        <w:t>Tel: (</w:t>
      </w:r>
      <w:r w:rsidRPr="00C339DB">
        <w:rPr>
          <w:rFonts w:ascii="ＭＳ ゴシック" w:eastAsia="ＭＳ ゴシック" w:hAnsi="ＭＳ ゴシック" w:hint="eastAsia"/>
          <w:sz w:val="24"/>
          <w:szCs w:val="24"/>
        </w:rPr>
        <w:t>0</w:t>
      </w:r>
      <w:r w:rsidRPr="00C339DB">
        <w:rPr>
          <w:rFonts w:ascii="ＭＳ ゴシック" w:eastAsia="ＭＳ ゴシック" w:hAnsi="ＭＳ ゴシック"/>
          <w:sz w:val="24"/>
          <w:szCs w:val="24"/>
        </w:rPr>
        <w:t>3)</w:t>
      </w:r>
      <w:r w:rsidRPr="00C339DB">
        <w:rPr>
          <w:rFonts w:ascii="ＭＳ ゴシック" w:eastAsia="ＭＳ ゴシック" w:hAnsi="ＭＳ ゴシック" w:hint="eastAsia"/>
          <w:sz w:val="24"/>
          <w:szCs w:val="24"/>
        </w:rPr>
        <w:t>5282-3730</w:t>
      </w:r>
      <w:r w:rsidRPr="00C339DB">
        <w:rPr>
          <w:rFonts w:ascii="ＭＳ ゴシック" w:eastAsia="ＭＳ ゴシック" w:hAnsi="ＭＳ ゴシック"/>
          <w:sz w:val="24"/>
          <w:szCs w:val="24"/>
        </w:rPr>
        <w:t xml:space="preserve">   Fax: (</w:t>
      </w:r>
      <w:r w:rsidRPr="00C339DB">
        <w:rPr>
          <w:rFonts w:ascii="ＭＳ ゴシック" w:eastAsia="ＭＳ ゴシック" w:hAnsi="ＭＳ ゴシック" w:hint="eastAsia"/>
          <w:sz w:val="24"/>
          <w:szCs w:val="24"/>
        </w:rPr>
        <w:t>0</w:t>
      </w:r>
      <w:r w:rsidRPr="00C339DB">
        <w:rPr>
          <w:rFonts w:ascii="ＭＳ ゴシック" w:eastAsia="ＭＳ ゴシック" w:hAnsi="ＭＳ ゴシック"/>
          <w:sz w:val="24"/>
          <w:szCs w:val="24"/>
        </w:rPr>
        <w:t>3)52</w:t>
      </w:r>
      <w:r w:rsidRPr="00C339DB">
        <w:rPr>
          <w:rFonts w:ascii="ＭＳ ゴシック" w:eastAsia="ＭＳ ゴシック" w:hAnsi="ＭＳ ゴシック" w:hint="eastAsia"/>
          <w:sz w:val="24"/>
          <w:szCs w:val="24"/>
        </w:rPr>
        <w:t>82-0017</w:t>
      </w:r>
    </w:p>
    <w:p w:rsidR="005C7178" w:rsidRPr="00C339DB" w:rsidRDefault="005C7178" w:rsidP="00E72552">
      <w:pPr>
        <w:pStyle w:val="a3"/>
        <w:spacing w:line="276" w:lineRule="auto"/>
        <w:jc w:val="right"/>
        <w:rPr>
          <w:rFonts w:ascii="ＭＳ ゴシック" w:eastAsia="ＭＳ ゴシック" w:hAnsi="ＭＳ ゴシック"/>
          <w:sz w:val="24"/>
          <w:szCs w:val="24"/>
        </w:rPr>
      </w:pPr>
      <w:r w:rsidRPr="00C339DB">
        <w:rPr>
          <w:rFonts w:ascii="ＭＳ ゴシック" w:eastAsia="ＭＳ ゴシック" w:hAnsi="ＭＳ ゴシック" w:hint="eastAsia"/>
          <w:sz w:val="24"/>
          <w:szCs w:val="24"/>
        </w:rPr>
        <w:t>e-mail: office@dpi-japan.org</w:t>
      </w:r>
    </w:p>
    <w:p w:rsidR="005C7178" w:rsidRPr="00C339DB" w:rsidRDefault="005C7178" w:rsidP="00E72552">
      <w:pPr>
        <w:pStyle w:val="a3"/>
        <w:spacing w:line="276" w:lineRule="auto"/>
        <w:jc w:val="right"/>
        <w:rPr>
          <w:sz w:val="24"/>
          <w:szCs w:val="24"/>
        </w:rPr>
      </w:pPr>
      <w:r w:rsidRPr="00C339DB">
        <w:rPr>
          <w:rFonts w:ascii="ＭＳ ゴシック" w:eastAsia="ＭＳ ゴシック" w:hAnsi="ＭＳ ゴシック" w:hint="eastAsia"/>
          <w:sz w:val="24"/>
          <w:szCs w:val="24"/>
        </w:rPr>
        <w:t>URL： http://www.dpi-japan.org</w:t>
      </w:r>
    </w:p>
    <w:p w:rsidR="004539CD" w:rsidRPr="004539CD" w:rsidRDefault="004539CD" w:rsidP="00E72552">
      <w:pPr>
        <w:pStyle w:val="a3"/>
        <w:spacing w:line="276" w:lineRule="auto"/>
        <w:jc w:val="right"/>
        <w:rPr>
          <w:szCs w:val="21"/>
        </w:rPr>
      </w:pPr>
    </w:p>
    <w:sectPr w:rsidR="004539CD" w:rsidRPr="004539CD" w:rsidSect="00B52B4D">
      <w:footerReference w:type="default" r:id="rId9"/>
      <w:headerReference w:type="first" r:id="rId10"/>
      <w:pgSz w:w="11907" w:h="16840" w:code="9"/>
      <w:pgMar w:top="1985" w:right="1701" w:bottom="1701" w:left="1701" w:header="851"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D3" w:rsidRDefault="001E38D3">
      <w:pPr>
        <w:spacing w:line="240" w:lineRule="auto"/>
      </w:pPr>
      <w:r>
        <w:separator/>
      </w:r>
    </w:p>
  </w:endnote>
  <w:endnote w:type="continuationSeparator" w:id="0">
    <w:p w:rsidR="001E38D3" w:rsidRDefault="001E3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77976"/>
      <w:docPartObj>
        <w:docPartGallery w:val="Page Numbers (Bottom of Page)"/>
        <w:docPartUnique/>
      </w:docPartObj>
    </w:sdtPr>
    <w:sdtEndPr/>
    <w:sdtContent>
      <w:p w:rsidR="00E24AB1" w:rsidRDefault="00E24AB1">
        <w:pPr>
          <w:pStyle w:val="a4"/>
          <w:jc w:val="center"/>
        </w:pPr>
        <w:r>
          <w:fldChar w:fldCharType="begin"/>
        </w:r>
        <w:r>
          <w:instrText>PAGE   \* MERGEFORMAT</w:instrText>
        </w:r>
        <w:r>
          <w:fldChar w:fldCharType="separate"/>
        </w:r>
        <w:r w:rsidR="00E04753" w:rsidRPr="00E04753">
          <w:rPr>
            <w:noProof/>
            <w:lang w:val="ja-JP"/>
          </w:rPr>
          <w:t>4</w:t>
        </w:r>
        <w:r>
          <w:fldChar w:fldCharType="end"/>
        </w:r>
      </w:p>
    </w:sdtContent>
  </w:sdt>
  <w:p w:rsidR="00E24AB1" w:rsidRDefault="00E24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D3" w:rsidRDefault="001E38D3">
      <w:pPr>
        <w:spacing w:line="240" w:lineRule="auto"/>
      </w:pPr>
      <w:r>
        <w:separator/>
      </w:r>
    </w:p>
  </w:footnote>
  <w:footnote w:type="continuationSeparator" w:id="0">
    <w:p w:rsidR="001E38D3" w:rsidRDefault="001E38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8" w:rsidRDefault="006606EF" w:rsidP="005C7178">
    <w:pPr>
      <w:pStyle w:val="a3"/>
      <w:tabs>
        <w:tab w:val="clear" w:pos="4252"/>
        <w:tab w:val="left" w:pos="1080"/>
      </w:tabs>
      <w:snapToGrid w:val="0"/>
      <w:spacing w:line="240" w:lineRule="atLeast"/>
      <w:ind w:firstLineChars="500" w:firstLine="1405"/>
      <w:rPr>
        <w:rFonts w:ascii="Bookman Old Style" w:eastAsia="HG丸ｺﾞｼｯｸM-PRO" w:hAnsi="Bookman Old Style"/>
        <w:b/>
        <w:i/>
        <w:sz w:val="28"/>
      </w:rPr>
    </w:pPr>
    <w:r>
      <w:rPr>
        <w:rFonts w:ascii="Bookman Old Style" w:eastAsia="HG丸ｺﾞｼｯｸM-PRO" w:hAnsi="Bookman Old Style" w:hint="eastAsia"/>
        <w:b/>
        <w:i/>
        <w:sz w:val="28"/>
      </w:rPr>
      <w:t xml:space="preserve">特定非営利活動法人　</w:t>
    </w:r>
  </w:p>
  <w:p w:rsidR="006606EF" w:rsidRDefault="006606EF" w:rsidP="005C7178">
    <w:pPr>
      <w:pStyle w:val="a3"/>
      <w:tabs>
        <w:tab w:val="clear" w:pos="4252"/>
        <w:tab w:val="left" w:pos="1080"/>
      </w:tabs>
      <w:snapToGrid w:val="0"/>
      <w:spacing w:line="240" w:lineRule="atLeast"/>
      <w:ind w:firstLineChars="500" w:firstLine="1405"/>
      <w:rPr>
        <w:rFonts w:ascii="Bookman Old Style" w:eastAsia="HG丸ｺﾞｼｯｸM-PRO" w:hAnsi="Bookman Old Style"/>
        <w:b/>
        <w:i/>
        <w:sz w:val="28"/>
      </w:rPr>
    </w:pPr>
    <w:r>
      <w:rPr>
        <w:rFonts w:ascii="Bookman Old Style" w:eastAsia="HG丸ｺﾞｼｯｸM-PRO" w:hAnsi="Bookman Old Style" w:hint="eastAsia"/>
        <w:b/>
        <w:i/>
        <w:sz w:val="28"/>
      </w:rPr>
      <w:t>ＤＰＩ（障害者インターナショナル）日本会議</w:t>
    </w:r>
  </w:p>
  <w:p w:rsidR="006606EF" w:rsidRDefault="005C7178">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 xml:space="preserve">　　</w:t>
    </w:r>
    <w:r w:rsidR="006606EF">
      <w:rPr>
        <w:rFonts w:ascii="Century Gothic" w:hAnsi="Century Gothic"/>
        <w:i/>
        <w:sz w:val="20"/>
      </w:rPr>
      <w:t>Japan National Assembly of Disabled Peoples’ International</w:t>
    </w:r>
    <w:r w:rsidR="006606EF">
      <w:rPr>
        <w:rFonts w:ascii="Century Gothic" w:hAnsi="Century Gothic" w:hint="eastAsia"/>
        <w:i/>
        <w:sz w:val="20"/>
      </w:rPr>
      <w:t xml:space="preserve">　</w:t>
    </w:r>
    <w:r w:rsidR="006606EF">
      <w:rPr>
        <w:rFonts w:ascii="Century Gothic" w:hAnsi="Century Gothic"/>
        <w:i/>
        <w:sz w:val="20"/>
      </w:rPr>
      <w:t>(DPI-JAPAN)</w:t>
    </w:r>
  </w:p>
  <w:p w:rsidR="006606EF" w:rsidRDefault="006606EF">
    <w:pPr>
      <w:pStyle w:val="a3"/>
      <w:jc w:val="center"/>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4A"/>
    <w:multiLevelType w:val="hybridMultilevel"/>
    <w:tmpl w:val="EC2E3DDA"/>
    <w:lvl w:ilvl="0" w:tplc="73285D3C">
      <w:start w:val="1"/>
      <w:numFmt w:val="decimalEnclosedCircle"/>
      <w:lvlText w:val="%1"/>
      <w:lvlJc w:val="left"/>
      <w:pPr>
        <w:ind w:left="562" w:hanging="420"/>
      </w:pPr>
      <w:rPr>
        <w:rFonts w:asciiTheme="minorHAnsi" w:eastAsiaTheme="minorEastAsia" w:hAnsiTheme="minorHAnsi" w:cstheme="minorBidi" w:hint="default"/>
        <w:lang w:val="en-US"/>
      </w:rPr>
    </w:lvl>
    <w:lvl w:ilvl="1" w:tplc="D54089F8">
      <w:start w:val="2"/>
      <w:numFmt w:val="bullet"/>
      <w:lvlText w:val="・"/>
      <w:lvlJc w:val="left"/>
      <w:pPr>
        <w:ind w:left="360" w:hanging="360"/>
      </w:pPr>
      <w:rPr>
        <w:rFonts w:ascii="ＭＳ 明朝" w:eastAsia="ＭＳ 明朝" w:hAnsi="ＭＳ 明朝" w:cstheme="minorBidi" w:hint="eastAsia"/>
      </w:rPr>
    </w:lvl>
    <w:lvl w:ilvl="2" w:tplc="51049BC4">
      <w:start w:val="1"/>
      <w:numFmt w:val="decimalEnclosedCircle"/>
      <w:lvlText w:val="%3"/>
      <w:lvlJc w:val="left"/>
      <w:pPr>
        <w:ind w:left="502"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07EF8"/>
    <w:multiLevelType w:val="hybridMultilevel"/>
    <w:tmpl w:val="32AC4022"/>
    <w:lvl w:ilvl="0" w:tplc="73285D3C">
      <w:start w:val="1"/>
      <w:numFmt w:val="decimalEnclosedCircle"/>
      <w:lvlText w:val="%1"/>
      <w:lvlJc w:val="left"/>
      <w:pPr>
        <w:ind w:left="360" w:hanging="360"/>
      </w:pPr>
      <w:rPr>
        <w:rFonts w:asciiTheme="minorHAnsi" w:eastAsiaTheme="minorEastAsia" w:hAnsiTheme="minorHAnsi" w:cstheme="minorBidi"/>
        <w:lang w:val="en-US"/>
      </w:rPr>
    </w:lvl>
    <w:lvl w:ilvl="1" w:tplc="1EAC2B6E">
      <w:start w:val="1"/>
      <w:numFmt w:val="decimalFullWidth"/>
      <w:lvlText w:val="（%2）"/>
      <w:lvlJc w:val="left"/>
      <w:pPr>
        <w:ind w:left="72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A8374B"/>
    <w:multiLevelType w:val="hybridMultilevel"/>
    <w:tmpl w:val="1234A7EC"/>
    <w:lvl w:ilvl="0" w:tplc="86AE20D0">
      <w:start w:val="1"/>
      <w:numFmt w:val="decimalFullWidth"/>
      <w:lvlText w:val="（%1）"/>
      <w:lvlJc w:val="left"/>
      <w:pPr>
        <w:ind w:left="128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FE5A2D"/>
    <w:multiLevelType w:val="hybridMultilevel"/>
    <w:tmpl w:val="01B833C8"/>
    <w:lvl w:ilvl="0" w:tplc="68E48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B30288"/>
    <w:multiLevelType w:val="hybridMultilevel"/>
    <w:tmpl w:val="42C010FE"/>
    <w:lvl w:ilvl="0" w:tplc="797E6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EB3D5D"/>
    <w:multiLevelType w:val="hybridMultilevel"/>
    <w:tmpl w:val="C4F455D6"/>
    <w:lvl w:ilvl="0" w:tplc="78A4B9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0C3023"/>
    <w:multiLevelType w:val="hybridMultilevel"/>
    <w:tmpl w:val="F236AC26"/>
    <w:lvl w:ilvl="0" w:tplc="A7BE8C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641630"/>
    <w:multiLevelType w:val="hybridMultilevel"/>
    <w:tmpl w:val="3E4C740A"/>
    <w:lvl w:ilvl="0" w:tplc="965E0F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95129F"/>
    <w:multiLevelType w:val="hybridMultilevel"/>
    <w:tmpl w:val="0B1CAEBA"/>
    <w:lvl w:ilvl="0" w:tplc="86AE20D0">
      <w:start w:val="1"/>
      <w:numFmt w:val="decimalFullWidth"/>
      <w:lvlText w:val="（%1）"/>
      <w:lvlJc w:val="left"/>
      <w:pPr>
        <w:ind w:left="149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C855DC7"/>
    <w:multiLevelType w:val="hybridMultilevel"/>
    <w:tmpl w:val="F63AD192"/>
    <w:lvl w:ilvl="0" w:tplc="5E183946">
      <w:start w:val="1"/>
      <w:numFmt w:val="decimalEnclosedCircle"/>
      <w:lvlText w:val="%1"/>
      <w:lvlJc w:val="left"/>
      <w:pPr>
        <w:ind w:left="360" w:hanging="360"/>
      </w:pPr>
      <w:rPr>
        <w:rFonts w:hint="default"/>
      </w:rPr>
    </w:lvl>
    <w:lvl w:ilvl="1" w:tplc="86AE20D0">
      <w:start w:val="1"/>
      <w:numFmt w:val="decimalFullWidth"/>
      <w:lvlText w:val="（%2）"/>
      <w:lvlJc w:val="left"/>
      <w:pPr>
        <w:ind w:left="720" w:hanging="7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 w:numId="3">
    <w:abstractNumId w:val="3"/>
  </w:num>
  <w:num w:numId="4">
    <w:abstractNumId w:val="7"/>
  </w:num>
  <w:num w:numId="5">
    <w:abstractNumId w:val="9"/>
  </w:num>
  <w:num w:numId="6">
    <w:abstractNumId w:val="5"/>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0F"/>
    <w:rsid w:val="00097474"/>
    <w:rsid w:val="0015764F"/>
    <w:rsid w:val="001C1720"/>
    <w:rsid w:val="001E38D3"/>
    <w:rsid w:val="002E4D81"/>
    <w:rsid w:val="00384937"/>
    <w:rsid w:val="004539CD"/>
    <w:rsid w:val="00464E39"/>
    <w:rsid w:val="004801DC"/>
    <w:rsid w:val="004E27AC"/>
    <w:rsid w:val="005C7178"/>
    <w:rsid w:val="006606EF"/>
    <w:rsid w:val="00692265"/>
    <w:rsid w:val="00786A90"/>
    <w:rsid w:val="007D49FE"/>
    <w:rsid w:val="008E7230"/>
    <w:rsid w:val="009B7232"/>
    <w:rsid w:val="00A91B1A"/>
    <w:rsid w:val="00B52B4D"/>
    <w:rsid w:val="00C339DB"/>
    <w:rsid w:val="00C53835"/>
    <w:rsid w:val="00C7421F"/>
    <w:rsid w:val="00D5480F"/>
    <w:rsid w:val="00E04753"/>
    <w:rsid w:val="00E24AB1"/>
    <w:rsid w:val="00E72552"/>
    <w:rsid w:val="00E80C4D"/>
    <w:rsid w:val="00F241CE"/>
    <w:rsid w:val="00F34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character" w:customStyle="1" w:styleId="a5">
    <w:name w:val="フッター (文字)"/>
    <w:basedOn w:val="a0"/>
    <w:link w:val="a4"/>
    <w:uiPriority w:val="99"/>
    <w:rsid w:val="005C7178"/>
    <w:rPr>
      <w:rFonts w:ascii="Times New Roman" w:eastAsia="ＭＳ 明朝"/>
      <w:sz w:val="21"/>
    </w:rPr>
  </w:style>
  <w:style w:type="paragraph" w:styleId="aa">
    <w:name w:val="List Paragraph"/>
    <w:basedOn w:val="a"/>
    <w:uiPriority w:val="34"/>
    <w:qFormat/>
    <w:rsid w:val="00786A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character" w:customStyle="1" w:styleId="a5">
    <w:name w:val="フッター (文字)"/>
    <w:basedOn w:val="a0"/>
    <w:link w:val="a4"/>
    <w:uiPriority w:val="99"/>
    <w:rsid w:val="005C7178"/>
    <w:rPr>
      <w:rFonts w:ascii="Times New Roman" w:eastAsia="ＭＳ 明朝"/>
      <w:sz w:val="21"/>
    </w:rPr>
  </w:style>
  <w:style w:type="paragraph" w:styleId="aa">
    <w:name w:val="List Paragraph"/>
    <w:basedOn w:val="a"/>
    <w:uiPriority w:val="34"/>
    <w:qFormat/>
    <w:rsid w:val="00786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Words>
  <Characters>3695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DPI-JAPAN</cp:lastModifiedBy>
  <cp:revision>2</cp:revision>
  <cp:lastPrinted>2015-01-27T06:26:00Z</cp:lastPrinted>
  <dcterms:created xsi:type="dcterms:W3CDTF">2015-02-25T04:03:00Z</dcterms:created>
  <dcterms:modified xsi:type="dcterms:W3CDTF">2015-02-25T04:03:00Z</dcterms:modified>
</cp:coreProperties>
</file>